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BE" w:rsidRDefault="0028418D">
      <w:r>
        <w:rPr>
          <w:b/>
          <w:bCs/>
          <w:noProof/>
          <w:sz w:val="40"/>
          <w:szCs w:val="40"/>
        </w:rPr>
        <w:drawing>
          <wp:anchor distT="0" distB="0" distL="114300" distR="114300" simplePos="0" relativeHeight="251659264" behindDoc="1" locked="0" layoutInCell="1" allowOverlap="1" wp14:anchorId="7A52FFD1" wp14:editId="5D2CDCB3">
            <wp:simplePos x="0" y="0"/>
            <wp:positionH relativeFrom="margin">
              <wp:posOffset>2150110</wp:posOffset>
            </wp:positionH>
            <wp:positionV relativeFrom="margin">
              <wp:posOffset>-474345</wp:posOffset>
            </wp:positionV>
            <wp:extent cx="1270000" cy="960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27000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18D" w:rsidRDefault="0028418D" w:rsidP="006023BE">
      <w:pPr>
        <w:spacing w:after="0" w:line="312" w:lineRule="auto"/>
        <w:jc w:val="center"/>
        <w:rPr>
          <w:b/>
          <w:bCs/>
          <w:sz w:val="32"/>
          <w:szCs w:val="32"/>
        </w:rPr>
      </w:pPr>
    </w:p>
    <w:p w:rsidR="006023BE" w:rsidRPr="006023BE" w:rsidRDefault="006023BE" w:rsidP="006023BE">
      <w:pPr>
        <w:spacing w:after="0" w:line="312" w:lineRule="auto"/>
        <w:jc w:val="center"/>
        <w:rPr>
          <w:b/>
          <w:bCs/>
          <w:sz w:val="32"/>
          <w:szCs w:val="32"/>
        </w:rPr>
      </w:pPr>
      <w:r w:rsidRPr="006023BE">
        <w:rPr>
          <w:b/>
          <w:bCs/>
          <w:sz w:val="32"/>
          <w:szCs w:val="32"/>
        </w:rPr>
        <w:t xml:space="preserve">LBS Data Entry Service Standards </w:t>
      </w:r>
    </w:p>
    <w:p w:rsidR="006023BE" w:rsidRPr="006023BE" w:rsidRDefault="006023BE" w:rsidP="006023BE">
      <w:pPr>
        <w:jc w:val="center"/>
        <w:rPr>
          <w:bCs/>
          <w:sz w:val="28"/>
          <w:szCs w:val="28"/>
        </w:rPr>
      </w:pPr>
      <w:r w:rsidRPr="006023BE">
        <w:rPr>
          <w:bCs/>
          <w:sz w:val="28"/>
          <w:szCs w:val="28"/>
        </w:rPr>
        <w:t>updated July 2018</w:t>
      </w:r>
    </w:p>
    <w:tbl>
      <w:tblPr>
        <w:tblStyle w:val="TableGrid"/>
        <w:tblW w:w="0" w:type="auto"/>
        <w:tblLook w:val="04A0" w:firstRow="1" w:lastRow="0" w:firstColumn="1" w:lastColumn="0" w:noHBand="0" w:noVBand="1"/>
      </w:tblPr>
      <w:tblGrid>
        <w:gridCol w:w="3681"/>
        <w:gridCol w:w="5669"/>
      </w:tblGrid>
      <w:tr w:rsidR="006023BE" w:rsidRPr="006023BE" w:rsidTr="00B067E9">
        <w:trPr>
          <w:tblHeader/>
        </w:trPr>
        <w:tc>
          <w:tcPr>
            <w:tcW w:w="3681" w:type="dxa"/>
            <w:shd w:val="clear" w:color="auto" w:fill="E2EFD9" w:themeFill="accent6" w:themeFillTint="33"/>
          </w:tcPr>
          <w:p w:rsidR="006023BE" w:rsidRPr="006023BE" w:rsidRDefault="006023BE" w:rsidP="006023BE">
            <w:pPr>
              <w:spacing w:before="120" w:after="120" w:line="240" w:lineRule="auto"/>
              <w:jc w:val="center"/>
              <w:rPr>
                <w:rFonts w:ascii="Arial" w:hAnsi="Arial" w:cs="Arial"/>
                <w:b/>
                <w:sz w:val="28"/>
                <w:szCs w:val="28"/>
              </w:rPr>
            </w:pPr>
            <w:r w:rsidRPr="006023BE">
              <w:rPr>
                <w:rFonts w:ascii="Arial" w:hAnsi="Arial" w:cs="Arial"/>
                <w:b/>
                <w:sz w:val="28"/>
                <w:szCs w:val="28"/>
              </w:rPr>
              <w:t>Data Item</w:t>
            </w:r>
          </w:p>
        </w:tc>
        <w:tc>
          <w:tcPr>
            <w:tcW w:w="5669" w:type="dxa"/>
            <w:shd w:val="clear" w:color="auto" w:fill="E2EFD9" w:themeFill="accent6" w:themeFillTint="33"/>
          </w:tcPr>
          <w:p w:rsidR="006023BE" w:rsidRPr="006023BE" w:rsidRDefault="006023BE" w:rsidP="006023BE">
            <w:pPr>
              <w:spacing w:before="120" w:after="120" w:line="240" w:lineRule="auto"/>
              <w:jc w:val="center"/>
              <w:rPr>
                <w:rFonts w:ascii="Arial" w:hAnsi="Arial" w:cs="Arial"/>
                <w:b/>
                <w:sz w:val="28"/>
                <w:szCs w:val="28"/>
              </w:rPr>
            </w:pPr>
            <w:r w:rsidRPr="006023BE">
              <w:rPr>
                <w:rFonts w:ascii="Arial" w:hAnsi="Arial" w:cs="Arial"/>
                <w:b/>
                <w:sz w:val="28"/>
                <w:szCs w:val="28"/>
              </w:rPr>
              <w:t>Standard</w:t>
            </w:r>
          </w:p>
        </w:tc>
      </w:tr>
      <w:tr w:rsidR="006023BE" w:rsidRPr="006023BE" w:rsidTr="006023BE">
        <w:tc>
          <w:tcPr>
            <w:tcW w:w="3681" w:type="dxa"/>
          </w:tcPr>
          <w:p w:rsidR="006023BE" w:rsidRPr="003314CA" w:rsidRDefault="006023BE" w:rsidP="006023BE">
            <w:pPr>
              <w:spacing w:after="0" w:line="288" w:lineRule="auto"/>
              <w:rPr>
                <w:b/>
                <w:sz w:val="24"/>
                <w:szCs w:val="24"/>
              </w:rPr>
            </w:pPr>
            <w:r w:rsidRPr="003314CA">
              <w:rPr>
                <w:b/>
                <w:sz w:val="24"/>
                <w:szCs w:val="24"/>
              </w:rPr>
              <w:t>Person with disability</w:t>
            </w:r>
          </w:p>
        </w:tc>
        <w:tc>
          <w:tcPr>
            <w:tcW w:w="5669" w:type="dxa"/>
          </w:tcPr>
          <w:p w:rsidR="006023BE" w:rsidRPr="005155D8" w:rsidRDefault="006023BE" w:rsidP="006023BE">
            <w:pPr>
              <w:keepNext/>
              <w:keepLines/>
              <w:spacing w:after="0" w:line="288" w:lineRule="auto"/>
              <w:outlineLvl w:val="5"/>
              <w:rPr>
                <w:sz w:val="22"/>
                <w:szCs w:val="22"/>
              </w:rPr>
            </w:pPr>
            <w:r w:rsidRPr="005155D8">
              <w:rPr>
                <w:sz w:val="22"/>
                <w:szCs w:val="22"/>
              </w:rPr>
              <w:t>Suggestion that at intake you can ask a question like : “ if there is a fire alarm/emergency in the building, do you require assistance to leave the building?”  This may result in more disclosures.</w:t>
            </w:r>
          </w:p>
          <w:p w:rsidR="006023BE" w:rsidRDefault="006023BE" w:rsidP="006023BE">
            <w:pPr>
              <w:spacing w:after="0" w:line="288" w:lineRule="auto"/>
              <w:rPr>
                <w:sz w:val="22"/>
                <w:szCs w:val="22"/>
              </w:rPr>
            </w:pPr>
          </w:p>
          <w:p w:rsidR="006023BE" w:rsidRPr="006023BE" w:rsidRDefault="006023BE" w:rsidP="006023BE">
            <w:pPr>
              <w:spacing w:after="0" w:line="288" w:lineRule="auto"/>
              <w:rPr>
                <w:sz w:val="22"/>
                <w:szCs w:val="22"/>
              </w:rPr>
            </w:pPr>
            <w:r w:rsidRPr="005155D8">
              <w:rPr>
                <w:sz w:val="22"/>
                <w:szCs w:val="22"/>
              </w:rPr>
              <w:t>Continue to explain to the learner the advantages of discl</w:t>
            </w:r>
            <w:r>
              <w:rPr>
                <w:sz w:val="22"/>
                <w:szCs w:val="22"/>
              </w:rPr>
              <w:t>osing and hope they do disclose</w:t>
            </w:r>
          </w:p>
        </w:tc>
      </w:tr>
      <w:tr w:rsidR="006023BE" w:rsidRPr="006023BE" w:rsidTr="006023BE">
        <w:tc>
          <w:tcPr>
            <w:tcW w:w="3681" w:type="dxa"/>
          </w:tcPr>
          <w:p w:rsidR="00655A4E" w:rsidRDefault="00655A4E" w:rsidP="00655A4E">
            <w:pPr>
              <w:spacing w:after="0" w:line="288" w:lineRule="auto"/>
              <w:rPr>
                <w:b/>
                <w:sz w:val="24"/>
                <w:szCs w:val="24"/>
              </w:rPr>
            </w:pPr>
            <w:r>
              <w:rPr>
                <w:b/>
                <w:sz w:val="24"/>
                <w:szCs w:val="24"/>
              </w:rPr>
              <w:t xml:space="preserve">Highest level of education – </w:t>
            </w:r>
          </w:p>
          <w:p w:rsidR="00CC60B3" w:rsidRDefault="00655A4E" w:rsidP="00655A4E">
            <w:pPr>
              <w:spacing w:after="0" w:line="288" w:lineRule="auto"/>
              <w:rPr>
                <w:b/>
                <w:sz w:val="24"/>
                <w:szCs w:val="24"/>
              </w:rPr>
            </w:pPr>
            <w:r>
              <w:rPr>
                <w:b/>
                <w:sz w:val="24"/>
                <w:szCs w:val="24"/>
              </w:rPr>
              <w:t>&lt;</w:t>
            </w:r>
            <w:r w:rsidRPr="00DC4415">
              <w:rPr>
                <w:b/>
                <w:sz w:val="24"/>
                <w:szCs w:val="24"/>
              </w:rPr>
              <w:t xml:space="preserve"> grade 12</w:t>
            </w:r>
          </w:p>
          <w:p w:rsidR="00CC60B3" w:rsidRPr="00CC60B3" w:rsidRDefault="00CC60B3" w:rsidP="00CC60B3">
            <w:pPr>
              <w:rPr>
                <w:sz w:val="24"/>
                <w:szCs w:val="24"/>
              </w:rPr>
            </w:pPr>
          </w:p>
          <w:p w:rsidR="00CC60B3" w:rsidRDefault="00CC60B3" w:rsidP="00CC60B3">
            <w:pPr>
              <w:rPr>
                <w:sz w:val="24"/>
                <w:szCs w:val="24"/>
              </w:rPr>
            </w:pPr>
          </w:p>
          <w:p w:rsidR="006023BE" w:rsidRPr="00CC60B3" w:rsidRDefault="00CC60B3" w:rsidP="00CC60B3">
            <w:pPr>
              <w:tabs>
                <w:tab w:val="left" w:pos="2520"/>
              </w:tabs>
              <w:rPr>
                <w:sz w:val="24"/>
                <w:szCs w:val="24"/>
              </w:rPr>
            </w:pPr>
            <w:r>
              <w:rPr>
                <w:sz w:val="24"/>
                <w:szCs w:val="24"/>
              </w:rPr>
              <w:tab/>
            </w:r>
          </w:p>
        </w:tc>
        <w:tc>
          <w:tcPr>
            <w:tcW w:w="5669" w:type="dxa"/>
          </w:tcPr>
          <w:p w:rsidR="00655A4E" w:rsidRPr="005155D8" w:rsidRDefault="00655A4E" w:rsidP="00655A4E">
            <w:pPr>
              <w:pStyle w:val="ListBullet"/>
              <w:numPr>
                <w:ilvl w:val="0"/>
                <w:numId w:val="0"/>
              </w:numPr>
              <w:spacing w:line="288" w:lineRule="auto"/>
              <w:ind w:left="32"/>
              <w:rPr>
                <w:sz w:val="22"/>
                <w:szCs w:val="22"/>
              </w:rPr>
            </w:pPr>
            <w:r w:rsidRPr="005155D8">
              <w:rPr>
                <w:sz w:val="22"/>
                <w:szCs w:val="22"/>
              </w:rPr>
              <w:t xml:space="preserve">Take learner’s word </w:t>
            </w:r>
            <w:r>
              <w:rPr>
                <w:sz w:val="22"/>
                <w:szCs w:val="22"/>
              </w:rPr>
              <w:t xml:space="preserve">for it </w:t>
            </w:r>
            <w:r w:rsidRPr="005155D8">
              <w:rPr>
                <w:sz w:val="22"/>
                <w:szCs w:val="22"/>
              </w:rPr>
              <w:t xml:space="preserve">– ASK what is highest level completed in own country, or ask </w:t>
            </w:r>
            <w:r>
              <w:rPr>
                <w:sz w:val="22"/>
                <w:szCs w:val="22"/>
              </w:rPr>
              <w:t>“</w:t>
            </w:r>
            <w:r w:rsidRPr="005155D8">
              <w:rPr>
                <w:sz w:val="22"/>
                <w:szCs w:val="22"/>
              </w:rPr>
              <w:t>did you finish high school?</w:t>
            </w:r>
            <w:r>
              <w:rPr>
                <w:sz w:val="22"/>
                <w:szCs w:val="22"/>
              </w:rPr>
              <w:t>”</w:t>
            </w:r>
          </w:p>
          <w:p w:rsidR="00655A4E" w:rsidRPr="005155D8" w:rsidRDefault="00655A4E" w:rsidP="00655A4E">
            <w:pPr>
              <w:pStyle w:val="ListBullet"/>
              <w:numPr>
                <w:ilvl w:val="0"/>
                <w:numId w:val="0"/>
              </w:numPr>
              <w:spacing w:line="288" w:lineRule="auto"/>
              <w:rPr>
                <w:sz w:val="22"/>
                <w:szCs w:val="22"/>
              </w:rPr>
            </w:pPr>
          </w:p>
          <w:p w:rsidR="00655A4E" w:rsidRDefault="00655A4E" w:rsidP="00655A4E">
            <w:pPr>
              <w:pStyle w:val="ListBullet"/>
              <w:numPr>
                <w:ilvl w:val="0"/>
                <w:numId w:val="0"/>
              </w:numPr>
              <w:spacing w:line="288" w:lineRule="auto"/>
              <w:ind w:left="32"/>
              <w:rPr>
                <w:sz w:val="22"/>
                <w:szCs w:val="22"/>
              </w:rPr>
            </w:pPr>
            <w:r w:rsidRPr="005155D8">
              <w:rPr>
                <w:sz w:val="22"/>
                <w:szCs w:val="22"/>
              </w:rPr>
              <w:t>ES PRF does ask if client did high school outside Canada. They suggest asking the questions above.</w:t>
            </w:r>
          </w:p>
          <w:p w:rsidR="006023BE" w:rsidRPr="006023BE" w:rsidRDefault="00655A4E" w:rsidP="00655A4E">
            <w:pPr>
              <w:spacing w:after="0" w:line="288" w:lineRule="auto"/>
              <w:rPr>
                <w:b/>
                <w:sz w:val="24"/>
                <w:szCs w:val="24"/>
              </w:rPr>
            </w:pPr>
            <w:r>
              <w:rPr>
                <w:sz w:val="22"/>
                <w:szCs w:val="22"/>
              </w:rPr>
              <w:t>If learner has also had some other education, this can be entered in the new Additional Education section</w:t>
            </w:r>
          </w:p>
        </w:tc>
      </w:tr>
      <w:tr w:rsidR="00655A4E" w:rsidRPr="006023BE" w:rsidTr="006023BE">
        <w:tc>
          <w:tcPr>
            <w:tcW w:w="3681" w:type="dxa"/>
          </w:tcPr>
          <w:p w:rsidR="00655A4E" w:rsidRDefault="00655A4E" w:rsidP="00655A4E">
            <w:pPr>
              <w:spacing w:after="0" w:line="288" w:lineRule="auto"/>
              <w:rPr>
                <w:b/>
                <w:sz w:val="24"/>
                <w:szCs w:val="24"/>
              </w:rPr>
            </w:pPr>
            <w:r>
              <w:rPr>
                <w:b/>
                <w:sz w:val="24"/>
                <w:szCs w:val="24"/>
              </w:rPr>
              <w:t>Additional education:</w:t>
            </w:r>
          </w:p>
          <w:p w:rsidR="00655A4E" w:rsidRPr="000205B0" w:rsidRDefault="00655A4E" w:rsidP="00655A4E">
            <w:pPr>
              <w:spacing w:after="0" w:line="288" w:lineRule="auto"/>
              <w:rPr>
                <w:b/>
                <w:sz w:val="24"/>
                <w:szCs w:val="24"/>
              </w:rPr>
            </w:pPr>
            <w:r w:rsidRPr="000205B0">
              <w:rPr>
                <w:b/>
                <w:sz w:val="24"/>
                <w:szCs w:val="24"/>
              </w:rPr>
              <w:t>“some college”</w:t>
            </w:r>
          </w:p>
        </w:tc>
        <w:tc>
          <w:tcPr>
            <w:tcW w:w="5669" w:type="dxa"/>
          </w:tcPr>
          <w:p w:rsidR="00655A4E" w:rsidRPr="00481BC6" w:rsidRDefault="00655A4E" w:rsidP="00655A4E">
            <w:pPr>
              <w:pStyle w:val="ListBullet"/>
              <w:numPr>
                <w:ilvl w:val="0"/>
                <w:numId w:val="0"/>
              </w:numPr>
              <w:spacing w:line="288" w:lineRule="auto"/>
              <w:ind w:left="32"/>
              <w:rPr>
                <w:sz w:val="22"/>
                <w:szCs w:val="22"/>
              </w:rPr>
            </w:pPr>
            <w:r w:rsidRPr="00481BC6">
              <w:rPr>
                <w:b/>
                <w:bCs/>
                <w:sz w:val="22"/>
                <w:szCs w:val="22"/>
              </w:rPr>
              <w:t>SUGGESTED</w:t>
            </w:r>
            <w:r w:rsidRPr="00481BC6">
              <w:rPr>
                <w:sz w:val="22"/>
                <w:szCs w:val="22"/>
              </w:rPr>
              <w:t>:</w:t>
            </w:r>
          </w:p>
          <w:p w:rsidR="00655A4E" w:rsidRPr="00481BC6" w:rsidRDefault="00655A4E" w:rsidP="00655A4E">
            <w:pPr>
              <w:pStyle w:val="ListBullet"/>
              <w:numPr>
                <w:ilvl w:val="0"/>
                <w:numId w:val="0"/>
              </w:numPr>
              <w:spacing w:line="288" w:lineRule="auto"/>
              <w:ind w:left="32"/>
              <w:rPr>
                <w:sz w:val="22"/>
                <w:szCs w:val="22"/>
              </w:rPr>
            </w:pPr>
            <w:r w:rsidRPr="00481BC6">
              <w:rPr>
                <w:sz w:val="22"/>
                <w:szCs w:val="22"/>
              </w:rPr>
              <w:t xml:space="preserve">-if learner </w:t>
            </w:r>
            <w:r w:rsidRPr="00481BC6">
              <w:rPr>
                <w:b/>
                <w:bCs/>
                <w:sz w:val="22"/>
                <w:szCs w:val="22"/>
              </w:rPr>
              <w:t>completed</w:t>
            </w:r>
            <w:r w:rsidRPr="00481BC6">
              <w:rPr>
                <w:sz w:val="22"/>
                <w:szCs w:val="22"/>
              </w:rPr>
              <w:t xml:space="preserve"> one course or more, enter “some college” </w:t>
            </w:r>
          </w:p>
          <w:p w:rsidR="00655A4E" w:rsidRPr="00655A4E" w:rsidRDefault="00655A4E" w:rsidP="00655A4E">
            <w:pPr>
              <w:pStyle w:val="ListBullet"/>
              <w:numPr>
                <w:ilvl w:val="0"/>
                <w:numId w:val="0"/>
              </w:numPr>
              <w:spacing w:line="288" w:lineRule="auto"/>
              <w:ind w:left="32"/>
              <w:rPr>
                <w:sz w:val="22"/>
                <w:szCs w:val="22"/>
              </w:rPr>
            </w:pPr>
            <w:r w:rsidRPr="00481BC6">
              <w:rPr>
                <w:sz w:val="22"/>
                <w:szCs w:val="22"/>
              </w:rPr>
              <w:t xml:space="preserve">– if started in college but did not complete </w:t>
            </w:r>
            <w:r w:rsidRPr="00481BC6">
              <w:rPr>
                <w:b/>
                <w:bCs/>
                <w:sz w:val="22"/>
                <w:szCs w:val="22"/>
              </w:rPr>
              <w:t xml:space="preserve">any </w:t>
            </w:r>
            <w:r w:rsidRPr="00481BC6">
              <w:rPr>
                <w:sz w:val="22"/>
                <w:szCs w:val="22"/>
              </w:rPr>
              <w:t xml:space="preserve">courses, do </w:t>
            </w:r>
            <w:r w:rsidRPr="00481BC6">
              <w:rPr>
                <w:b/>
                <w:bCs/>
                <w:sz w:val="22"/>
                <w:szCs w:val="22"/>
              </w:rPr>
              <w:t>not</w:t>
            </w:r>
            <w:r w:rsidRPr="00481BC6">
              <w:rPr>
                <w:sz w:val="22"/>
                <w:szCs w:val="22"/>
              </w:rPr>
              <w:t xml:space="preserve"> enter “some college”</w:t>
            </w:r>
          </w:p>
          <w:p w:rsidR="00655A4E" w:rsidRPr="006023BE" w:rsidRDefault="00655A4E" w:rsidP="00655A4E">
            <w:pPr>
              <w:spacing w:after="0" w:line="288" w:lineRule="auto"/>
              <w:rPr>
                <w:b/>
                <w:sz w:val="24"/>
                <w:szCs w:val="24"/>
              </w:rPr>
            </w:pPr>
            <w:r w:rsidRPr="007D247F">
              <w:rPr>
                <w:bCs/>
                <w:sz w:val="22"/>
                <w:szCs w:val="22"/>
              </w:rPr>
              <w:t>Can also apply to “some apprenticeship” and “some university”.</w:t>
            </w:r>
          </w:p>
        </w:tc>
      </w:tr>
      <w:tr w:rsidR="009911CC" w:rsidRPr="006023BE" w:rsidTr="006023BE">
        <w:tc>
          <w:tcPr>
            <w:tcW w:w="3681" w:type="dxa"/>
          </w:tcPr>
          <w:p w:rsidR="009911CC" w:rsidRDefault="009911CC" w:rsidP="009911CC">
            <w:pPr>
              <w:spacing w:after="0" w:line="288" w:lineRule="auto"/>
              <w:rPr>
                <w:b/>
                <w:sz w:val="24"/>
                <w:szCs w:val="24"/>
              </w:rPr>
            </w:pPr>
            <w:r>
              <w:rPr>
                <w:b/>
                <w:sz w:val="24"/>
                <w:szCs w:val="24"/>
              </w:rPr>
              <w:t>Source of income</w:t>
            </w:r>
          </w:p>
          <w:p w:rsidR="009911CC" w:rsidRPr="00BC1989" w:rsidRDefault="009911CC" w:rsidP="00642755">
            <w:pPr>
              <w:spacing w:after="0" w:line="288" w:lineRule="auto"/>
              <w:rPr>
                <w:b/>
                <w:sz w:val="24"/>
                <w:szCs w:val="24"/>
              </w:rPr>
            </w:pPr>
            <w:r w:rsidRPr="00BC1989">
              <w:rPr>
                <w:b/>
                <w:sz w:val="24"/>
                <w:szCs w:val="24"/>
              </w:rPr>
              <w:t xml:space="preserve">– </w:t>
            </w:r>
            <w:r w:rsidRPr="00BC1989">
              <w:rPr>
                <w:b/>
                <w:bCs/>
                <w:sz w:val="24"/>
                <w:szCs w:val="24"/>
              </w:rPr>
              <w:t>Other</w:t>
            </w:r>
            <w:r w:rsidR="00642755">
              <w:rPr>
                <w:b/>
                <w:sz w:val="24"/>
                <w:szCs w:val="24"/>
              </w:rPr>
              <w:t xml:space="preserve">   </w:t>
            </w:r>
            <w:r w:rsidRPr="00BC1989">
              <w:rPr>
                <w:b/>
                <w:sz w:val="24"/>
                <w:szCs w:val="24"/>
              </w:rPr>
              <w:t>vs.</w:t>
            </w:r>
          </w:p>
          <w:p w:rsidR="009911CC" w:rsidRPr="006023BE" w:rsidRDefault="009911CC" w:rsidP="009911CC">
            <w:pPr>
              <w:spacing w:after="0" w:line="288" w:lineRule="auto"/>
              <w:rPr>
                <w:b/>
                <w:sz w:val="24"/>
                <w:szCs w:val="24"/>
              </w:rPr>
            </w:pPr>
            <w:r w:rsidRPr="00BC1989">
              <w:rPr>
                <w:b/>
                <w:sz w:val="24"/>
                <w:szCs w:val="24"/>
              </w:rPr>
              <w:t xml:space="preserve">– </w:t>
            </w:r>
            <w:r w:rsidRPr="00BC1989">
              <w:rPr>
                <w:b/>
                <w:bCs/>
                <w:sz w:val="24"/>
                <w:szCs w:val="24"/>
              </w:rPr>
              <w:t>No Income</w:t>
            </w:r>
          </w:p>
        </w:tc>
        <w:tc>
          <w:tcPr>
            <w:tcW w:w="5669" w:type="dxa"/>
          </w:tcPr>
          <w:p w:rsidR="009911CC" w:rsidRPr="005155D8" w:rsidRDefault="009911CC" w:rsidP="009911CC">
            <w:pPr>
              <w:spacing w:after="0" w:line="288" w:lineRule="auto"/>
              <w:rPr>
                <w:sz w:val="22"/>
                <w:szCs w:val="22"/>
                <w:lang w:eastAsia="en-US"/>
              </w:rPr>
            </w:pPr>
            <w:r w:rsidRPr="005155D8">
              <w:rPr>
                <w:b/>
                <w:bCs/>
                <w:sz w:val="22"/>
                <w:szCs w:val="22"/>
              </w:rPr>
              <w:t xml:space="preserve">Other </w:t>
            </w:r>
            <w:r w:rsidRPr="005155D8">
              <w:rPr>
                <w:sz w:val="22"/>
                <w:szCs w:val="22"/>
                <w:lang w:eastAsia="en-US"/>
              </w:rPr>
              <w:t>means person receives cheque/payment in their own name - can include pension, investment income, etc.</w:t>
            </w:r>
          </w:p>
          <w:p w:rsidR="009911CC" w:rsidRPr="005155D8" w:rsidRDefault="009911CC" w:rsidP="009911CC">
            <w:pPr>
              <w:spacing w:after="0" w:line="288" w:lineRule="auto"/>
              <w:ind w:left="72"/>
              <w:rPr>
                <w:b/>
                <w:bCs/>
                <w:sz w:val="22"/>
                <w:szCs w:val="22"/>
              </w:rPr>
            </w:pPr>
          </w:p>
          <w:p w:rsidR="009911CC" w:rsidRPr="005155D8" w:rsidRDefault="009911CC" w:rsidP="009911CC">
            <w:pPr>
              <w:spacing w:after="0" w:line="288" w:lineRule="auto"/>
              <w:ind w:left="72"/>
              <w:rPr>
                <w:sz w:val="22"/>
                <w:szCs w:val="22"/>
                <w:lang w:eastAsia="en-US"/>
              </w:rPr>
            </w:pPr>
            <w:r>
              <w:rPr>
                <w:b/>
                <w:bCs/>
                <w:sz w:val="22"/>
                <w:szCs w:val="22"/>
              </w:rPr>
              <w:t>No</w:t>
            </w:r>
            <w:r w:rsidRPr="005155D8">
              <w:rPr>
                <w:b/>
                <w:bCs/>
                <w:sz w:val="22"/>
                <w:szCs w:val="22"/>
              </w:rPr>
              <w:t xml:space="preserve"> Source </w:t>
            </w:r>
            <w:r w:rsidRPr="005155D8">
              <w:rPr>
                <w:sz w:val="22"/>
                <w:szCs w:val="22"/>
                <w:lang w:eastAsia="en-US"/>
              </w:rPr>
              <w:t xml:space="preserve">means supported by family, friends, savings, etc. - also includes </w:t>
            </w:r>
            <w:r>
              <w:rPr>
                <w:sz w:val="22"/>
                <w:szCs w:val="22"/>
                <w:lang w:eastAsia="en-US"/>
              </w:rPr>
              <w:t xml:space="preserve">homeless people and </w:t>
            </w:r>
            <w:r w:rsidRPr="005155D8">
              <w:rPr>
                <w:sz w:val="22"/>
                <w:szCs w:val="22"/>
                <w:lang w:eastAsia="en-US"/>
              </w:rPr>
              <w:t>inmates at CNCC in Penetanguishene</w:t>
            </w:r>
          </w:p>
          <w:p w:rsidR="009911CC" w:rsidRPr="005155D8" w:rsidRDefault="009911CC" w:rsidP="009911CC">
            <w:pPr>
              <w:spacing w:after="0" w:line="288" w:lineRule="auto"/>
              <w:ind w:left="72"/>
              <w:rPr>
                <w:b/>
                <w:bCs/>
                <w:sz w:val="22"/>
                <w:szCs w:val="22"/>
              </w:rPr>
            </w:pPr>
          </w:p>
          <w:p w:rsidR="009911CC" w:rsidRPr="000D2709" w:rsidRDefault="009911CC" w:rsidP="009911CC">
            <w:pPr>
              <w:spacing w:after="0" w:line="288" w:lineRule="auto"/>
              <w:rPr>
                <w:b/>
                <w:bCs/>
                <w:sz w:val="22"/>
                <w:szCs w:val="22"/>
              </w:rPr>
            </w:pPr>
            <w:r w:rsidRPr="005155D8">
              <w:rPr>
                <w:sz w:val="22"/>
                <w:szCs w:val="22"/>
              </w:rPr>
              <w:lastRenderedPageBreak/>
              <w:t xml:space="preserve">Where does “severance” fit?  Severance cheque was issued to the person, but once in bank account, it is technically savings.  </w:t>
            </w:r>
            <w:r w:rsidRPr="005155D8">
              <w:rPr>
                <w:b/>
                <w:bCs/>
                <w:sz w:val="22"/>
                <w:szCs w:val="22"/>
              </w:rPr>
              <w:t>For the purposes of our stats collection chart, we suggest you add this in with “other” on our templates.</w:t>
            </w:r>
          </w:p>
          <w:p w:rsidR="009911CC" w:rsidRPr="00367A19" w:rsidRDefault="009911CC" w:rsidP="009911CC">
            <w:pPr>
              <w:pStyle w:val="Default"/>
              <w:spacing w:line="288" w:lineRule="auto"/>
              <w:rPr>
                <w:rFonts w:cs="Times New Roman"/>
                <w:sz w:val="12"/>
                <w:szCs w:val="12"/>
              </w:rPr>
            </w:pPr>
          </w:p>
        </w:tc>
      </w:tr>
      <w:tr w:rsidR="009911CC" w:rsidRPr="006023BE" w:rsidTr="006023BE">
        <w:tc>
          <w:tcPr>
            <w:tcW w:w="3681" w:type="dxa"/>
          </w:tcPr>
          <w:p w:rsidR="009911CC" w:rsidRPr="006023BE" w:rsidRDefault="009911CC" w:rsidP="009911CC">
            <w:pPr>
              <w:spacing w:after="0" w:line="288" w:lineRule="auto"/>
              <w:rPr>
                <w:b/>
                <w:sz w:val="24"/>
                <w:szCs w:val="24"/>
              </w:rPr>
            </w:pPr>
            <w:r>
              <w:rPr>
                <w:b/>
                <w:sz w:val="24"/>
                <w:szCs w:val="24"/>
              </w:rPr>
              <w:lastRenderedPageBreak/>
              <w:t>T</w:t>
            </w:r>
            <w:r w:rsidRPr="002911CF">
              <w:rPr>
                <w:b/>
                <w:sz w:val="24"/>
                <w:szCs w:val="24"/>
              </w:rPr>
              <w:t>ime out of training</w:t>
            </w:r>
            <w:r>
              <w:rPr>
                <w:b/>
                <w:sz w:val="24"/>
                <w:szCs w:val="24"/>
              </w:rPr>
              <w:t xml:space="preserve">: </w:t>
            </w:r>
            <w:r w:rsidRPr="002911CF">
              <w:rPr>
                <w:b/>
                <w:sz w:val="24"/>
                <w:szCs w:val="24"/>
              </w:rPr>
              <w:t>&gt;6 years out of training is a suitability factor</w:t>
            </w:r>
          </w:p>
        </w:tc>
        <w:tc>
          <w:tcPr>
            <w:tcW w:w="5669" w:type="dxa"/>
          </w:tcPr>
          <w:p w:rsidR="00093F2E" w:rsidRDefault="00093F2E" w:rsidP="00093F2E">
            <w:pPr>
              <w:spacing w:after="0" w:line="288" w:lineRule="auto"/>
              <w:rPr>
                <w:b/>
                <w:bCs/>
                <w:sz w:val="22"/>
                <w:szCs w:val="22"/>
              </w:rPr>
            </w:pPr>
            <w:r>
              <w:rPr>
                <w:b/>
                <w:bCs/>
                <w:sz w:val="22"/>
                <w:szCs w:val="22"/>
              </w:rPr>
              <w:t>Agreement that to count, the training must have been completed.  (Nov. 2016)</w:t>
            </w:r>
          </w:p>
          <w:p w:rsidR="00093F2E" w:rsidRDefault="00093F2E" w:rsidP="009911CC">
            <w:pPr>
              <w:spacing w:after="0" w:line="288" w:lineRule="auto"/>
              <w:ind w:left="72"/>
              <w:rPr>
                <w:bCs/>
                <w:sz w:val="22"/>
                <w:szCs w:val="22"/>
              </w:rPr>
            </w:pPr>
          </w:p>
          <w:p w:rsidR="00093F2E" w:rsidRPr="00093F2E" w:rsidRDefault="009911CC" w:rsidP="00093F2E">
            <w:pPr>
              <w:spacing w:after="0" w:line="288" w:lineRule="auto"/>
              <w:ind w:left="72"/>
              <w:rPr>
                <w:bCs/>
                <w:sz w:val="22"/>
                <w:szCs w:val="22"/>
              </w:rPr>
            </w:pPr>
            <w:r w:rsidRPr="000726E6">
              <w:rPr>
                <w:bCs/>
                <w:sz w:val="22"/>
                <w:szCs w:val="22"/>
              </w:rPr>
              <w:t>Still discussing length of training – no agreement on how long the training should be to count and therefore not</w:t>
            </w:r>
            <w:r>
              <w:rPr>
                <w:bCs/>
                <w:sz w:val="22"/>
                <w:szCs w:val="22"/>
              </w:rPr>
              <w:t xml:space="preserve"> be able to</w:t>
            </w:r>
            <w:r w:rsidRPr="000726E6">
              <w:rPr>
                <w:bCs/>
                <w:sz w:val="22"/>
                <w:szCs w:val="22"/>
              </w:rPr>
              <w:t xml:space="preserve"> record this suitability factor.</w:t>
            </w:r>
          </w:p>
        </w:tc>
      </w:tr>
      <w:tr w:rsidR="009911CC" w:rsidRPr="006023BE" w:rsidTr="006023BE">
        <w:tc>
          <w:tcPr>
            <w:tcW w:w="3681" w:type="dxa"/>
          </w:tcPr>
          <w:p w:rsidR="005D14F7" w:rsidRDefault="005D14F7" w:rsidP="005D14F7">
            <w:pPr>
              <w:spacing w:after="0" w:line="288" w:lineRule="auto"/>
              <w:rPr>
                <w:b/>
                <w:color w:val="000000"/>
                <w:sz w:val="24"/>
                <w:szCs w:val="24"/>
              </w:rPr>
            </w:pPr>
            <w:r w:rsidRPr="006215C5">
              <w:rPr>
                <w:b/>
                <w:color w:val="000000"/>
                <w:sz w:val="24"/>
                <w:szCs w:val="24"/>
              </w:rPr>
              <w:t>Time out of formal</w:t>
            </w:r>
            <w:r>
              <w:rPr>
                <w:b/>
                <w:color w:val="000000"/>
                <w:sz w:val="24"/>
                <w:szCs w:val="24"/>
              </w:rPr>
              <w:t xml:space="preserve"> education</w:t>
            </w:r>
            <w:r w:rsidRPr="006215C5">
              <w:rPr>
                <w:b/>
                <w:color w:val="000000"/>
                <w:sz w:val="24"/>
                <w:szCs w:val="24"/>
              </w:rPr>
              <w:t>/</w:t>
            </w:r>
          </w:p>
          <w:p w:rsidR="009911CC" w:rsidRPr="006023BE" w:rsidRDefault="005D14F7" w:rsidP="005D14F7">
            <w:pPr>
              <w:spacing w:after="0" w:line="288" w:lineRule="auto"/>
              <w:rPr>
                <w:b/>
                <w:sz w:val="24"/>
                <w:szCs w:val="24"/>
              </w:rPr>
            </w:pPr>
            <w:r w:rsidRPr="006215C5">
              <w:rPr>
                <w:b/>
                <w:color w:val="000000"/>
                <w:sz w:val="24"/>
                <w:szCs w:val="24"/>
              </w:rPr>
              <w:t>training/work</w:t>
            </w:r>
            <w:r w:rsidR="007D57E1">
              <w:rPr>
                <w:b/>
                <w:color w:val="000000"/>
                <w:sz w:val="24"/>
                <w:szCs w:val="24"/>
              </w:rPr>
              <w:t xml:space="preserve"> – N/A option</w:t>
            </w:r>
          </w:p>
        </w:tc>
        <w:tc>
          <w:tcPr>
            <w:tcW w:w="5669" w:type="dxa"/>
          </w:tcPr>
          <w:p w:rsidR="009911CC" w:rsidRPr="006023BE" w:rsidRDefault="007D57E1" w:rsidP="009911CC">
            <w:pPr>
              <w:spacing w:after="0" w:line="288" w:lineRule="auto"/>
              <w:rPr>
                <w:b/>
                <w:sz w:val="24"/>
                <w:szCs w:val="24"/>
              </w:rPr>
            </w:pPr>
            <w:r>
              <w:rPr>
                <w:b/>
                <w:bCs/>
                <w:sz w:val="22"/>
                <w:szCs w:val="22"/>
              </w:rPr>
              <w:t xml:space="preserve">Missing from PRF - </w:t>
            </w:r>
            <w:r w:rsidR="005D14F7">
              <w:rPr>
                <w:b/>
                <w:bCs/>
                <w:sz w:val="22"/>
                <w:szCs w:val="22"/>
              </w:rPr>
              <w:t>For now, just add this manually to the paper-based form</w:t>
            </w:r>
          </w:p>
        </w:tc>
      </w:tr>
      <w:tr w:rsidR="005D14F7" w:rsidRPr="006023BE" w:rsidTr="006023BE">
        <w:tc>
          <w:tcPr>
            <w:tcW w:w="3681" w:type="dxa"/>
          </w:tcPr>
          <w:p w:rsidR="005D14F7" w:rsidRPr="006023BE" w:rsidRDefault="005D14F7" w:rsidP="005D14F7">
            <w:pPr>
              <w:spacing w:after="0" w:line="288" w:lineRule="auto"/>
              <w:rPr>
                <w:b/>
                <w:sz w:val="24"/>
                <w:szCs w:val="24"/>
              </w:rPr>
            </w:pPr>
            <w:r w:rsidRPr="00FB453B">
              <w:rPr>
                <w:b/>
                <w:color w:val="004DC7"/>
                <w:sz w:val="24"/>
                <w:szCs w:val="24"/>
              </w:rPr>
              <w:t>Greater than 6 years out of training, education</w:t>
            </w:r>
          </w:p>
        </w:tc>
        <w:tc>
          <w:tcPr>
            <w:tcW w:w="5669" w:type="dxa"/>
          </w:tcPr>
          <w:p w:rsidR="005D14F7" w:rsidRPr="00FB453B" w:rsidRDefault="005D14F7" w:rsidP="005D14F7">
            <w:pPr>
              <w:spacing w:line="312" w:lineRule="auto"/>
              <w:rPr>
                <w:rFonts w:ascii="Century Schoolbook" w:hAnsi="Century Schoolbook"/>
                <w:color w:val="004DC7"/>
                <w:sz w:val="22"/>
              </w:rPr>
            </w:pPr>
            <w:r w:rsidRPr="00FB453B">
              <w:rPr>
                <w:rFonts w:ascii="Century Schoolbook" w:hAnsi="Century Schoolbook"/>
                <w:color w:val="004DC7"/>
                <w:sz w:val="22"/>
              </w:rPr>
              <w:t xml:space="preserve">Agreement that it makes sense to use “N/A” if the learner is in a </w:t>
            </w:r>
            <w:r w:rsidRPr="00FB453B">
              <w:rPr>
                <w:rFonts w:ascii="Century Schoolbook" w:hAnsi="Century Schoolbook"/>
                <w:b/>
                <w:color w:val="004DC7"/>
                <w:sz w:val="22"/>
              </w:rPr>
              <w:t>concurrent</w:t>
            </w:r>
            <w:r w:rsidRPr="00FB453B">
              <w:rPr>
                <w:rFonts w:ascii="Century Schoolbook" w:hAnsi="Century Schoolbook"/>
                <w:color w:val="004DC7"/>
                <w:sz w:val="22"/>
              </w:rPr>
              <w:t xml:space="preserve"> program or is employed.   Otherwise, use “yes” if learner has never had any training.(greater than 6 years without training)</w:t>
            </w:r>
          </w:p>
          <w:p w:rsidR="005D14F7" w:rsidRPr="00FB453B" w:rsidRDefault="005D14F7" w:rsidP="005D14F7">
            <w:pPr>
              <w:spacing w:line="312" w:lineRule="auto"/>
              <w:rPr>
                <w:rFonts w:ascii="Century Schoolbook" w:hAnsi="Century Schoolbook"/>
                <w:color w:val="004DC7"/>
                <w:sz w:val="22"/>
              </w:rPr>
            </w:pPr>
            <w:r w:rsidRPr="00FB453B">
              <w:rPr>
                <w:rFonts w:ascii="Century Schoolbook" w:hAnsi="Century Schoolbook"/>
                <w:color w:val="004DC7"/>
                <w:sz w:val="22"/>
              </w:rPr>
              <w:t xml:space="preserve">Georgian College staff will have to check with manager to see if this would be OK, as currently they are not using N/A at all.  </w:t>
            </w:r>
          </w:p>
        </w:tc>
      </w:tr>
      <w:tr w:rsidR="005D14F7" w:rsidRPr="006023BE" w:rsidTr="006023BE">
        <w:tc>
          <w:tcPr>
            <w:tcW w:w="3681" w:type="dxa"/>
          </w:tcPr>
          <w:p w:rsidR="005D14F7" w:rsidRPr="006023BE" w:rsidRDefault="00337FE0" w:rsidP="005D14F7">
            <w:pPr>
              <w:spacing w:after="0" w:line="288" w:lineRule="auto"/>
              <w:rPr>
                <w:b/>
                <w:sz w:val="24"/>
                <w:szCs w:val="24"/>
              </w:rPr>
            </w:pPr>
            <w:r w:rsidRPr="00F265A9">
              <w:rPr>
                <w:b/>
                <w:sz w:val="24"/>
                <w:szCs w:val="24"/>
              </w:rPr>
              <w:t>Full-time vs. p</w:t>
            </w:r>
            <w:r>
              <w:rPr>
                <w:b/>
                <w:sz w:val="24"/>
                <w:szCs w:val="24"/>
              </w:rPr>
              <w:t>art-time student – what is the d</w:t>
            </w:r>
            <w:r w:rsidRPr="00F265A9">
              <w:rPr>
                <w:b/>
                <w:sz w:val="24"/>
                <w:szCs w:val="24"/>
              </w:rPr>
              <w:t xml:space="preserve">efinition of </w:t>
            </w:r>
            <w:r>
              <w:rPr>
                <w:b/>
                <w:sz w:val="24"/>
                <w:szCs w:val="24"/>
              </w:rPr>
              <w:t>“</w:t>
            </w:r>
            <w:r w:rsidRPr="00F265A9">
              <w:rPr>
                <w:b/>
                <w:sz w:val="24"/>
                <w:szCs w:val="24"/>
              </w:rPr>
              <w:t>full-time</w:t>
            </w:r>
            <w:r>
              <w:rPr>
                <w:b/>
                <w:sz w:val="24"/>
                <w:szCs w:val="24"/>
              </w:rPr>
              <w:t>”</w:t>
            </w:r>
            <w:r w:rsidRPr="00F265A9">
              <w:rPr>
                <w:b/>
                <w:sz w:val="24"/>
                <w:szCs w:val="24"/>
              </w:rPr>
              <w:t xml:space="preserve"> for LBS?</w:t>
            </w:r>
          </w:p>
        </w:tc>
        <w:tc>
          <w:tcPr>
            <w:tcW w:w="5669" w:type="dxa"/>
          </w:tcPr>
          <w:p w:rsidR="005D14F7" w:rsidRPr="006023BE" w:rsidRDefault="00337FE0" w:rsidP="005D14F7">
            <w:pPr>
              <w:spacing w:after="0" w:line="288" w:lineRule="auto"/>
              <w:rPr>
                <w:b/>
                <w:sz w:val="24"/>
                <w:szCs w:val="24"/>
              </w:rPr>
            </w:pPr>
            <w:r w:rsidRPr="005155D8">
              <w:rPr>
                <w:sz w:val="22"/>
                <w:szCs w:val="22"/>
              </w:rPr>
              <w:t>LBS providers are inclined to tell students they are not full-time, but this has not been formally agreed.</w:t>
            </w:r>
          </w:p>
        </w:tc>
      </w:tr>
      <w:tr w:rsidR="005D14F7" w:rsidRPr="006023BE" w:rsidTr="006023BE">
        <w:tc>
          <w:tcPr>
            <w:tcW w:w="3681" w:type="dxa"/>
          </w:tcPr>
          <w:p w:rsidR="005D14F7" w:rsidRPr="006023BE" w:rsidRDefault="00337FE0" w:rsidP="005D14F7">
            <w:pPr>
              <w:spacing w:after="0" w:line="288" w:lineRule="auto"/>
              <w:rPr>
                <w:b/>
                <w:sz w:val="24"/>
                <w:szCs w:val="24"/>
              </w:rPr>
            </w:pPr>
            <w:r w:rsidRPr="002D7780">
              <w:rPr>
                <w:b/>
                <w:sz w:val="24"/>
                <w:szCs w:val="24"/>
              </w:rPr>
              <w:t>Referral out to E</w:t>
            </w:r>
            <w:r>
              <w:rPr>
                <w:b/>
                <w:sz w:val="24"/>
                <w:szCs w:val="24"/>
              </w:rPr>
              <w:t xml:space="preserve">mployment </w:t>
            </w:r>
            <w:r w:rsidRPr="002D7780">
              <w:rPr>
                <w:b/>
                <w:sz w:val="24"/>
                <w:szCs w:val="24"/>
              </w:rPr>
              <w:t>S</w:t>
            </w:r>
            <w:r>
              <w:rPr>
                <w:b/>
                <w:sz w:val="24"/>
                <w:szCs w:val="24"/>
              </w:rPr>
              <w:t>ervices (ES)</w:t>
            </w:r>
          </w:p>
        </w:tc>
        <w:tc>
          <w:tcPr>
            <w:tcW w:w="5669" w:type="dxa"/>
          </w:tcPr>
          <w:p w:rsidR="00337FE0" w:rsidRDefault="00337FE0" w:rsidP="00337FE0">
            <w:pPr>
              <w:spacing w:after="0" w:line="288" w:lineRule="auto"/>
              <w:ind w:left="72"/>
              <w:rPr>
                <w:sz w:val="22"/>
                <w:szCs w:val="22"/>
              </w:rPr>
            </w:pPr>
            <w:r>
              <w:rPr>
                <w:sz w:val="22"/>
                <w:szCs w:val="22"/>
              </w:rPr>
              <w:t>LBS learners</w:t>
            </w:r>
            <w:r w:rsidRPr="005155D8">
              <w:rPr>
                <w:sz w:val="22"/>
                <w:szCs w:val="22"/>
              </w:rPr>
              <w:t xml:space="preserve"> should be referred out to ES when leaving LBS and ready to work.</w:t>
            </w:r>
          </w:p>
          <w:p w:rsidR="005D14F7" w:rsidRPr="00093F2E" w:rsidRDefault="00337FE0" w:rsidP="00093F2E">
            <w:pPr>
              <w:spacing w:after="0" w:line="288" w:lineRule="auto"/>
              <w:ind w:left="72"/>
              <w:rPr>
                <w:color w:val="FF0000"/>
                <w:sz w:val="22"/>
                <w:szCs w:val="22"/>
              </w:rPr>
            </w:pPr>
            <w:bookmarkStart w:id="0" w:name="_GoBack"/>
            <w:r>
              <w:rPr>
                <w:color w:val="FF0000"/>
                <w:sz w:val="22"/>
                <w:szCs w:val="22"/>
              </w:rPr>
              <w:t>(Might depend whether</w:t>
            </w:r>
            <w:r w:rsidRPr="00476AD6">
              <w:rPr>
                <w:color w:val="FF0000"/>
                <w:sz w:val="22"/>
                <w:szCs w:val="22"/>
              </w:rPr>
              <w:t xml:space="preserve"> ES service plan is closed </w:t>
            </w:r>
            <w:r>
              <w:rPr>
                <w:color w:val="FF0000"/>
                <w:sz w:val="22"/>
                <w:szCs w:val="22"/>
              </w:rPr>
              <w:t>or still open?)</w:t>
            </w:r>
            <w:bookmarkEnd w:id="0"/>
          </w:p>
        </w:tc>
      </w:tr>
      <w:tr w:rsidR="00337FE0" w:rsidRPr="006023BE" w:rsidTr="006023BE">
        <w:tc>
          <w:tcPr>
            <w:tcW w:w="3681" w:type="dxa"/>
          </w:tcPr>
          <w:p w:rsidR="00337FE0" w:rsidRPr="006023BE" w:rsidRDefault="00337FE0" w:rsidP="00337FE0">
            <w:pPr>
              <w:spacing w:after="0" w:line="288" w:lineRule="auto"/>
              <w:rPr>
                <w:b/>
                <w:sz w:val="24"/>
                <w:szCs w:val="24"/>
              </w:rPr>
            </w:pPr>
            <w:r w:rsidRPr="00B339CA">
              <w:rPr>
                <w:b/>
                <w:sz w:val="24"/>
                <w:szCs w:val="24"/>
              </w:rPr>
              <w:t>Referred out to Adult Credits (OSSD)</w:t>
            </w:r>
          </w:p>
        </w:tc>
        <w:tc>
          <w:tcPr>
            <w:tcW w:w="5669" w:type="dxa"/>
          </w:tcPr>
          <w:p w:rsidR="00337FE0" w:rsidRPr="00E32826" w:rsidRDefault="00337FE0" w:rsidP="00337FE0">
            <w:pPr>
              <w:spacing w:after="0" w:line="288" w:lineRule="auto"/>
              <w:rPr>
                <w:sz w:val="22"/>
                <w:szCs w:val="22"/>
              </w:rPr>
            </w:pPr>
            <w:r w:rsidRPr="00AC47F1">
              <w:rPr>
                <w:sz w:val="22"/>
                <w:szCs w:val="22"/>
              </w:rPr>
              <w:t>When LBS learner moves to adult credit program, it seems the current preference is to record this as a referral out to “high school”.   On our stats analysis template, we are calling this “High School/adult credit program”.</w:t>
            </w:r>
          </w:p>
        </w:tc>
      </w:tr>
      <w:tr w:rsidR="00337FE0" w:rsidRPr="006023BE" w:rsidTr="006023BE">
        <w:tc>
          <w:tcPr>
            <w:tcW w:w="3681" w:type="dxa"/>
          </w:tcPr>
          <w:p w:rsidR="00337FE0" w:rsidRPr="006023BE" w:rsidRDefault="00EF7D4F" w:rsidP="00337FE0">
            <w:pPr>
              <w:spacing w:after="0" w:line="288" w:lineRule="auto"/>
              <w:rPr>
                <w:b/>
                <w:sz w:val="24"/>
                <w:szCs w:val="24"/>
              </w:rPr>
            </w:pPr>
            <w:r w:rsidRPr="00C54AB1">
              <w:rPr>
                <w:b/>
                <w:sz w:val="24"/>
                <w:szCs w:val="24"/>
              </w:rPr>
              <w:t>Service co-ordination between LBS and ES</w:t>
            </w:r>
          </w:p>
        </w:tc>
        <w:tc>
          <w:tcPr>
            <w:tcW w:w="5669" w:type="dxa"/>
          </w:tcPr>
          <w:p w:rsidR="009D6726" w:rsidRPr="005155D8" w:rsidRDefault="009D6726" w:rsidP="009D6726">
            <w:pPr>
              <w:spacing w:after="0" w:line="288" w:lineRule="auto"/>
              <w:rPr>
                <w:sz w:val="22"/>
                <w:szCs w:val="22"/>
              </w:rPr>
            </w:pPr>
            <w:r>
              <w:rPr>
                <w:sz w:val="22"/>
                <w:szCs w:val="22"/>
              </w:rPr>
              <w:t>Some Referrals O</w:t>
            </w:r>
            <w:r w:rsidRPr="005155D8">
              <w:rPr>
                <w:sz w:val="22"/>
                <w:szCs w:val="22"/>
              </w:rPr>
              <w:t xml:space="preserve">ut don't get counted – referrals to either LBS or ES can be missed in case of multiple </w:t>
            </w:r>
            <w:r w:rsidRPr="005155D8">
              <w:rPr>
                <w:sz w:val="22"/>
                <w:szCs w:val="22"/>
              </w:rPr>
              <w:lastRenderedPageBreak/>
              <w:t xml:space="preserve">referrals for an individual.  However, all </w:t>
            </w:r>
            <w:r w:rsidRPr="005155D8">
              <w:rPr>
                <w:b/>
                <w:bCs/>
                <w:sz w:val="22"/>
                <w:szCs w:val="22"/>
              </w:rPr>
              <w:t>referrals in</w:t>
            </w:r>
            <w:r w:rsidRPr="005155D8">
              <w:rPr>
                <w:sz w:val="22"/>
                <w:szCs w:val="22"/>
              </w:rPr>
              <w:t xml:space="preserve"> do get counted; </w:t>
            </w:r>
          </w:p>
          <w:p w:rsidR="009D6726" w:rsidRDefault="009D6726" w:rsidP="009D6726">
            <w:pPr>
              <w:spacing w:after="0" w:line="288" w:lineRule="auto"/>
              <w:rPr>
                <w:sz w:val="22"/>
                <w:szCs w:val="22"/>
              </w:rPr>
            </w:pPr>
            <w:r w:rsidRPr="005155D8">
              <w:rPr>
                <w:sz w:val="22"/>
                <w:szCs w:val="22"/>
              </w:rPr>
              <w:t>Th</w:t>
            </w:r>
            <w:r>
              <w:rPr>
                <w:sz w:val="22"/>
                <w:szCs w:val="22"/>
              </w:rPr>
              <w:t>erefore, by using the referral -i</w:t>
            </w:r>
            <w:r w:rsidRPr="005155D8">
              <w:rPr>
                <w:sz w:val="22"/>
                <w:szCs w:val="22"/>
              </w:rPr>
              <w:t>n stats, ES providers can see the actual number of people referred by LBS and LBS providers can see the actual numbers referred by ES – we need to start sharing this data with each other.</w:t>
            </w:r>
          </w:p>
          <w:p w:rsidR="009D6726" w:rsidRDefault="009D6726" w:rsidP="009D6726">
            <w:pPr>
              <w:spacing w:after="0" w:line="288" w:lineRule="auto"/>
              <w:rPr>
                <w:sz w:val="22"/>
                <w:szCs w:val="22"/>
              </w:rPr>
            </w:pPr>
          </w:p>
          <w:p w:rsidR="00337FE0" w:rsidRPr="009D6726" w:rsidRDefault="009D6726" w:rsidP="009D6726">
            <w:pPr>
              <w:keepNext/>
              <w:keepLines/>
              <w:spacing w:after="0" w:line="288" w:lineRule="auto"/>
              <w:outlineLvl w:val="5"/>
              <w:rPr>
                <w:sz w:val="22"/>
                <w:szCs w:val="22"/>
              </w:rPr>
            </w:pPr>
            <w:r w:rsidRPr="00F35523">
              <w:rPr>
                <w:sz w:val="22"/>
                <w:szCs w:val="22"/>
                <w:highlight w:val="yellow"/>
              </w:rPr>
              <w:t>Need to work out process</w:t>
            </w:r>
            <w:r>
              <w:rPr>
                <w:sz w:val="22"/>
                <w:szCs w:val="22"/>
                <w:highlight w:val="yellow"/>
              </w:rPr>
              <w:t xml:space="preserve"> if we pursue this</w:t>
            </w:r>
            <w:r w:rsidRPr="00F35523">
              <w:rPr>
                <w:sz w:val="22"/>
                <w:szCs w:val="22"/>
                <w:highlight w:val="yellow"/>
              </w:rPr>
              <w:t>.</w:t>
            </w:r>
          </w:p>
        </w:tc>
      </w:tr>
      <w:tr w:rsidR="00337FE0" w:rsidRPr="006023BE" w:rsidTr="006023BE">
        <w:tc>
          <w:tcPr>
            <w:tcW w:w="3681" w:type="dxa"/>
          </w:tcPr>
          <w:p w:rsidR="00EF7D4F" w:rsidRDefault="00EF7D4F" w:rsidP="00EF7D4F">
            <w:pPr>
              <w:spacing w:after="0" w:line="288" w:lineRule="auto"/>
              <w:rPr>
                <w:b/>
                <w:sz w:val="24"/>
                <w:szCs w:val="24"/>
              </w:rPr>
            </w:pPr>
            <w:r w:rsidRPr="00F265A9">
              <w:rPr>
                <w:b/>
                <w:sz w:val="24"/>
                <w:szCs w:val="24"/>
              </w:rPr>
              <w:lastRenderedPageBreak/>
              <w:t xml:space="preserve">Outcomes at exit </w:t>
            </w:r>
          </w:p>
          <w:p w:rsidR="00337FE0" w:rsidRPr="006023BE" w:rsidRDefault="00EF7D4F" w:rsidP="00EF7D4F">
            <w:pPr>
              <w:spacing w:after="0" w:line="288" w:lineRule="auto"/>
              <w:rPr>
                <w:b/>
                <w:sz w:val="24"/>
                <w:szCs w:val="24"/>
              </w:rPr>
            </w:pPr>
            <w:r w:rsidRPr="00F265A9">
              <w:rPr>
                <w:b/>
                <w:sz w:val="24"/>
                <w:szCs w:val="24"/>
              </w:rPr>
              <w:t>– Unable to work</w:t>
            </w:r>
          </w:p>
        </w:tc>
        <w:tc>
          <w:tcPr>
            <w:tcW w:w="5669" w:type="dxa"/>
          </w:tcPr>
          <w:p w:rsidR="00337FE0" w:rsidRPr="006023BE" w:rsidRDefault="00EF7D4F" w:rsidP="00337FE0">
            <w:pPr>
              <w:spacing w:after="0" w:line="288" w:lineRule="auto"/>
              <w:rPr>
                <w:b/>
                <w:sz w:val="24"/>
                <w:szCs w:val="24"/>
              </w:rPr>
            </w:pPr>
            <w:r w:rsidRPr="005155D8">
              <w:rPr>
                <w:sz w:val="22"/>
                <w:szCs w:val="22"/>
              </w:rPr>
              <w:t>Not able to work at the time of exit for physical or mental reasons, for example, on disability of some kind, or health reasons or other circumstances prevent person from working</w:t>
            </w:r>
            <w:r>
              <w:rPr>
                <w:sz w:val="22"/>
                <w:szCs w:val="22"/>
              </w:rPr>
              <w:t xml:space="preserve">.  </w:t>
            </w:r>
          </w:p>
        </w:tc>
      </w:tr>
      <w:tr w:rsidR="00EF7D4F" w:rsidRPr="006023BE" w:rsidTr="006023BE">
        <w:tc>
          <w:tcPr>
            <w:tcW w:w="3681" w:type="dxa"/>
          </w:tcPr>
          <w:p w:rsidR="00EF7D4F" w:rsidRPr="00F265A9" w:rsidRDefault="00EF7D4F" w:rsidP="00EF7D4F">
            <w:pPr>
              <w:spacing w:after="0" w:line="288" w:lineRule="auto"/>
              <w:rPr>
                <w:b/>
                <w:sz w:val="24"/>
                <w:szCs w:val="24"/>
              </w:rPr>
            </w:pPr>
            <w:r w:rsidRPr="00F265A9">
              <w:rPr>
                <w:b/>
                <w:sz w:val="24"/>
                <w:szCs w:val="24"/>
              </w:rPr>
              <w:t>Outcomes at exit - Unemployed</w:t>
            </w:r>
          </w:p>
        </w:tc>
        <w:tc>
          <w:tcPr>
            <w:tcW w:w="5669" w:type="dxa"/>
          </w:tcPr>
          <w:p w:rsidR="00EF7D4F" w:rsidRPr="006023BE" w:rsidRDefault="00EF7D4F" w:rsidP="00EF7D4F">
            <w:pPr>
              <w:spacing w:after="0" w:line="288" w:lineRule="auto"/>
              <w:rPr>
                <w:b/>
                <w:sz w:val="24"/>
                <w:szCs w:val="24"/>
              </w:rPr>
            </w:pPr>
            <w:r w:rsidRPr="005155D8">
              <w:rPr>
                <w:sz w:val="22"/>
                <w:szCs w:val="22"/>
              </w:rPr>
              <w:t>Not able to work at the time of exit for physical or mental reasons, for example, on disability of some kind, or health reasons or other circumstances prevent person from working</w:t>
            </w:r>
            <w:r>
              <w:rPr>
                <w:sz w:val="22"/>
                <w:szCs w:val="22"/>
              </w:rPr>
              <w:t xml:space="preserve">.  </w:t>
            </w:r>
          </w:p>
        </w:tc>
      </w:tr>
      <w:tr w:rsidR="00EF7D4F" w:rsidRPr="006023BE" w:rsidTr="006023BE">
        <w:tc>
          <w:tcPr>
            <w:tcW w:w="3681" w:type="dxa"/>
          </w:tcPr>
          <w:p w:rsidR="00EF7D4F" w:rsidRPr="006023BE" w:rsidRDefault="00EF7D4F" w:rsidP="00EF7D4F">
            <w:pPr>
              <w:spacing w:after="0" w:line="288" w:lineRule="auto"/>
              <w:rPr>
                <w:b/>
                <w:sz w:val="24"/>
                <w:szCs w:val="24"/>
              </w:rPr>
            </w:pPr>
            <w:r w:rsidRPr="00F265A9">
              <w:rPr>
                <w:b/>
                <w:sz w:val="24"/>
                <w:szCs w:val="24"/>
              </w:rPr>
              <w:t>Outcomes at exit - Unemployed</w:t>
            </w:r>
          </w:p>
        </w:tc>
        <w:tc>
          <w:tcPr>
            <w:tcW w:w="5669" w:type="dxa"/>
          </w:tcPr>
          <w:p w:rsidR="00EF7D4F" w:rsidRDefault="00EF7D4F" w:rsidP="00EF7D4F">
            <w:pPr>
              <w:spacing w:after="0" w:line="288" w:lineRule="auto"/>
              <w:ind w:left="72"/>
              <w:rPr>
                <w:sz w:val="22"/>
                <w:szCs w:val="22"/>
              </w:rPr>
            </w:pPr>
            <w:r w:rsidRPr="005155D8">
              <w:rPr>
                <w:sz w:val="22"/>
                <w:szCs w:val="22"/>
              </w:rPr>
              <w:t>Physically and mentally able to work and no extenuating circumstances, but doesn’t have a job at the time of exit</w:t>
            </w:r>
            <w:r>
              <w:rPr>
                <w:sz w:val="22"/>
                <w:szCs w:val="22"/>
              </w:rPr>
              <w:t xml:space="preserve">.  </w:t>
            </w:r>
          </w:p>
          <w:p w:rsidR="00EF7D4F" w:rsidRPr="005155D8" w:rsidRDefault="00EF7D4F" w:rsidP="00EF7D4F">
            <w:pPr>
              <w:spacing w:after="0" w:line="288" w:lineRule="auto"/>
              <w:ind w:left="72"/>
              <w:rPr>
                <w:b/>
                <w:bCs/>
                <w:sz w:val="22"/>
                <w:szCs w:val="22"/>
              </w:rPr>
            </w:pPr>
            <w:r>
              <w:rPr>
                <w:sz w:val="22"/>
                <w:szCs w:val="22"/>
              </w:rPr>
              <w:t>This can include pregnant people who are not on Employment Insurance.</w:t>
            </w:r>
          </w:p>
        </w:tc>
      </w:tr>
      <w:tr w:rsidR="00EF7D4F" w:rsidRPr="006023BE" w:rsidTr="006023BE">
        <w:tc>
          <w:tcPr>
            <w:tcW w:w="3681" w:type="dxa"/>
          </w:tcPr>
          <w:p w:rsidR="00EF7D4F" w:rsidRPr="006023BE" w:rsidRDefault="00EF7D4F" w:rsidP="00EF7D4F">
            <w:pPr>
              <w:spacing w:after="0" w:line="288" w:lineRule="auto"/>
              <w:rPr>
                <w:b/>
                <w:sz w:val="24"/>
                <w:szCs w:val="24"/>
              </w:rPr>
            </w:pPr>
            <w:r w:rsidRPr="00F265A9">
              <w:rPr>
                <w:b/>
                <w:sz w:val="24"/>
                <w:szCs w:val="24"/>
              </w:rPr>
              <w:t>Outcomes at exit - Employed</w:t>
            </w:r>
          </w:p>
        </w:tc>
        <w:tc>
          <w:tcPr>
            <w:tcW w:w="5669" w:type="dxa"/>
          </w:tcPr>
          <w:p w:rsidR="00EF7D4F" w:rsidRPr="005155D8" w:rsidRDefault="00EF7D4F" w:rsidP="00EF7D4F">
            <w:pPr>
              <w:spacing w:after="0" w:line="288" w:lineRule="auto"/>
              <w:rPr>
                <w:sz w:val="22"/>
                <w:szCs w:val="22"/>
              </w:rPr>
            </w:pPr>
            <w:r w:rsidRPr="005155D8">
              <w:rPr>
                <w:sz w:val="22"/>
                <w:szCs w:val="22"/>
              </w:rPr>
              <w:t>If person has been hired but job hasn’t started yet, they are “employed”.</w:t>
            </w:r>
          </w:p>
          <w:p w:rsidR="00EF7D4F" w:rsidRDefault="00EF7D4F" w:rsidP="00EF7D4F">
            <w:pPr>
              <w:spacing w:after="0" w:line="288" w:lineRule="auto"/>
              <w:ind w:left="72"/>
              <w:rPr>
                <w:b/>
                <w:sz w:val="22"/>
                <w:szCs w:val="22"/>
              </w:rPr>
            </w:pPr>
          </w:p>
          <w:p w:rsidR="00EF7D4F" w:rsidRPr="005155D8" w:rsidRDefault="00EF7D4F" w:rsidP="00EF7D4F">
            <w:pPr>
              <w:spacing w:after="0" w:line="288" w:lineRule="auto"/>
              <w:ind w:left="72"/>
              <w:rPr>
                <w:b/>
                <w:bCs/>
                <w:sz w:val="22"/>
                <w:szCs w:val="22"/>
              </w:rPr>
            </w:pPr>
            <w:r w:rsidRPr="00604757">
              <w:rPr>
                <w:b/>
                <w:sz w:val="22"/>
                <w:szCs w:val="22"/>
              </w:rPr>
              <w:t>NOTE</w:t>
            </w:r>
            <w:r w:rsidRPr="005155D8">
              <w:rPr>
                <w:sz w:val="22"/>
                <w:szCs w:val="22"/>
              </w:rPr>
              <w:t xml:space="preserve">: LBS providers would like to be able to include “employable” in this category but this is not allowed </w:t>
            </w:r>
            <w:r>
              <w:rPr>
                <w:sz w:val="22"/>
                <w:szCs w:val="22"/>
              </w:rPr>
              <w:t xml:space="preserve">in CaMS </w:t>
            </w:r>
            <w:r w:rsidRPr="005155D8">
              <w:rPr>
                <w:sz w:val="22"/>
                <w:szCs w:val="22"/>
              </w:rPr>
              <w:t>at this time.</w:t>
            </w:r>
          </w:p>
        </w:tc>
      </w:tr>
      <w:tr w:rsidR="00EF7D4F" w:rsidRPr="006023BE" w:rsidTr="006023BE">
        <w:tc>
          <w:tcPr>
            <w:tcW w:w="3681" w:type="dxa"/>
          </w:tcPr>
          <w:p w:rsidR="00EF7D4F" w:rsidRPr="006023BE" w:rsidRDefault="00EF7D4F" w:rsidP="00EF7D4F">
            <w:pPr>
              <w:spacing w:after="0" w:line="288" w:lineRule="auto"/>
              <w:rPr>
                <w:b/>
                <w:sz w:val="24"/>
                <w:szCs w:val="24"/>
              </w:rPr>
            </w:pPr>
            <w:r w:rsidRPr="00F265A9">
              <w:rPr>
                <w:b/>
                <w:sz w:val="24"/>
                <w:szCs w:val="24"/>
              </w:rPr>
              <w:t>Referred out – Registered in…….</w:t>
            </w:r>
          </w:p>
        </w:tc>
        <w:tc>
          <w:tcPr>
            <w:tcW w:w="5669" w:type="dxa"/>
          </w:tcPr>
          <w:p w:rsidR="00EF7D4F" w:rsidRPr="006023BE" w:rsidRDefault="00EF7D4F" w:rsidP="00EF7D4F">
            <w:pPr>
              <w:spacing w:after="0" w:line="288" w:lineRule="auto"/>
              <w:rPr>
                <w:b/>
                <w:sz w:val="24"/>
                <w:szCs w:val="24"/>
              </w:rPr>
            </w:pPr>
            <w:r w:rsidRPr="005155D8">
              <w:rPr>
                <w:sz w:val="22"/>
                <w:szCs w:val="22"/>
              </w:rPr>
              <w:t xml:space="preserve">As per confirmation, formal referral out just needs confirmation that contact was made with the referral partner.  Confirmation can come from the learner or the referral partner.  It can be verbal, a business card, returned referral form, etc. – protocol developed with </w:t>
            </w:r>
            <w:r>
              <w:rPr>
                <w:sz w:val="22"/>
                <w:szCs w:val="22"/>
              </w:rPr>
              <w:t xml:space="preserve">each </w:t>
            </w:r>
            <w:r w:rsidRPr="005155D8">
              <w:rPr>
                <w:sz w:val="22"/>
                <w:szCs w:val="22"/>
              </w:rPr>
              <w:t>referral partner.</w:t>
            </w:r>
          </w:p>
        </w:tc>
      </w:tr>
      <w:tr w:rsidR="00EF7D4F" w:rsidRPr="006023BE" w:rsidTr="006023BE">
        <w:tc>
          <w:tcPr>
            <w:tcW w:w="3681" w:type="dxa"/>
          </w:tcPr>
          <w:p w:rsidR="00EF7D4F" w:rsidRPr="006023BE" w:rsidRDefault="00EF7D4F" w:rsidP="00EF7D4F">
            <w:pPr>
              <w:spacing w:after="0" w:line="288" w:lineRule="auto"/>
              <w:rPr>
                <w:b/>
                <w:sz w:val="24"/>
                <w:szCs w:val="24"/>
              </w:rPr>
            </w:pPr>
            <w:r w:rsidRPr="003B507D">
              <w:rPr>
                <w:b/>
                <w:color w:val="004DC7"/>
                <w:sz w:val="24"/>
                <w:szCs w:val="24"/>
              </w:rPr>
              <w:t>Culminating task – response options</w:t>
            </w:r>
            <w:r w:rsidR="001B4655">
              <w:rPr>
                <w:b/>
                <w:color w:val="004DC7"/>
                <w:sz w:val="24"/>
                <w:szCs w:val="24"/>
              </w:rPr>
              <w:t xml:space="preserve"> </w:t>
            </w:r>
            <w:r w:rsidR="001B4655" w:rsidRPr="001B4655">
              <w:rPr>
                <w:color w:val="004DC7"/>
                <w:sz w:val="24"/>
                <w:szCs w:val="24"/>
              </w:rPr>
              <w:t>(yes, no, no response)</w:t>
            </w:r>
          </w:p>
        </w:tc>
        <w:tc>
          <w:tcPr>
            <w:tcW w:w="5669" w:type="dxa"/>
          </w:tcPr>
          <w:p w:rsidR="00EF7D4F" w:rsidRPr="003B507D" w:rsidRDefault="00EF7D4F" w:rsidP="00EF7D4F">
            <w:pPr>
              <w:pStyle w:val="ListParagraph"/>
              <w:spacing w:line="312" w:lineRule="auto"/>
              <w:ind w:left="0"/>
              <w:contextualSpacing w:val="0"/>
              <w:jc w:val="both"/>
              <w:rPr>
                <w:rFonts w:ascii="Century Schoolbook" w:hAnsi="Century Schoolbook"/>
                <w:b/>
                <w:color w:val="004DC7"/>
                <w:sz w:val="22"/>
              </w:rPr>
            </w:pPr>
            <w:r w:rsidRPr="003B507D">
              <w:rPr>
                <w:rFonts w:ascii="Century Schoolbook" w:hAnsi="Century Schoolbook"/>
                <w:b/>
                <w:color w:val="004DC7"/>
                <w:sz w:val="22"/>
              </w:rPr>
              <w:t xml:space="preserve">Decision to use Yes and No options only. </w:t>
            </w:r>
          </w:p>
          <w:p w:rsidR="00EF7D4F" w:rsidRPr="006023BE" w:rsidRDefault="00EF7D4F" w:rsidP="00EF7D4F">
            <w:pPr>
              <w:spacing w:after="0" w:line="288" w:lineRule="auto"/>
              <w:rPr>
                <w:b/>
                <w:sz w:val="24"/>
                <w:szCs w:val="24"/>
              </w:rPr>
            </w:pPr>
          </w:p>
        </w:tc>
      </w:tr>
      <w:tr w:rsidR="00EF7D4F" w:rsidRPr="006023BE" w:rsidTr="006023BE">
        <w:tc>
          <w:tcPr>
            <w:tcW w:w="3681" w:type="dxa"/>
          </w:tcPr>
          <w:p w:rsidR="00EF7D4F" w:rsidRPr="006023BE" w:rsidRDefault="00EF7D4F" w:rsidP="00EF7D4F">
            <w:pPr>
              <w:spacing w:after="0" w:line="288" w:lineRule="auto"/>
              <w:rPr>
                <w:b/>
                <w:sz w:val="24"/>
                <w:szCs w:val="24"/>
              </w:rPr>
            </w:pPr>
            <w:r w:rsidRPr="00D0463A">
              <w:rPr>
                <w:b/>
                <w:color w:val="004DC7"/>
                <w:sz w:val="24"/>
                <w:szCs w:val="24"/>
              </w:rPr>
              <w:t>Deceased learners</w:t>
            </w:r>
          </w:p>
        </w:tc>
        <w:tc>
          <w:tcPr>
            <w:tcW w:w="5669" w:type="dxa"/>
          </w:tcPr>
          <w:p w:rsidR="00EF7D4F" w:rsidRPr="006023BE" w:rsidRDefault="00EF7D4F" w:rsidP="00EF7D4F">
            <w:pPr>
              <w:spacing w:after="0" w:line="288" w:lineRule="auto"/>
              <w:rPr>
                <w:b/>
                <w:sz w:val="24"/>
                <w:szCs w:val="24"/>
              </w:rPr>
            </w:pPr>
            <w:r w:rsidRPr="00D0463A">
              <w:rPr>
                <w:color w:val="004DC7"/>
                <w:sz w:val="22"/>
                <w:szCs w:val="22"/>
              </w:rPr>
              <w:t xml:space="preserve">Recommended that SP’s contact their ETC and ask them to close the file.  </w:t>
            </w:r>
          </w:p>
        </w:tc>
      </w:tr>
      <w:tr w:rsidR="00EF7D4F" w:rsidRPr="006023BE" w:rsidTr="006023BE">
        <w:tc>
          <w:tcPr>
            <w:tcW w:w="3681" w:type="dxa"/>
          </w:tcPr>
          <w:p w:rsidR="00EF7D4F" w:rsidRPr="006023BE" w:rsidRDefault="00642755" w:rsidP="00EF7D4F">
            <w:pPr>
              <w:spacing w:after="0" w:line="288" w:lineRule="auto"/>
              <w:rPr>
                <w:b/>
                <w:sz w:val="24"/>
                <w:szCs w:val="24"/>
              </w:rPr>
            </w:pPr>
            <w:r w:rsidRPr="00254D87">
              <w:rPr>
                <w:b/>
                <w:color w:val="004DC7"/>
                <w:sz w:val="24"/>
                <w:szCs w:val="24"/>
              </w:rPr>
              <w:lastRenderedPageBreak/>
              <w:t>How to record GED as a learner goal</w:t>
            </w:r>
          </w:p>
        </w:tc>
        <w:tc>
          <w:tcPr>
            <w:tcW w:w="5669" w:type="dxa"/>
          </w:tcPr>
          <w:p w:rsidR="00EF7D4F" w:rsidRPr="006023BE" w:rsidRDefault="00642755" w:rsidP="00EF7D4F">
            <w:pPr>
              <w:spacing w:after="0" w:line="288" w:lineRule="auto"/>
              <w:rPr>
                <w:b/>
                <w:sz w:val="24"/>
                <w:szCs w:val="24"/>
              </w:rPr>
            </w:pPr>
            <w:r w:rsidRPr="00254D87">
              <w:rPr>
                <w:rFonts w:ascii="Century Schoolbook" w:hAnsi="Century Schoolbook"/>
                <w:color w:val="004DC7"/>
                <w:sz w:val="22"/>
              </w:rPr>
              <w:t>Most feel that it should be added to the secondary school credit (SSC) pathway, especially when getting the GED IS the goal. However, the College cannot record it this way, as they are not the supposed to have clients with a secondary school goal.  Because of this, there is a no clear decision as to how to record this.</w:t>
            </w:r>
          </w:p>
        </w:tc>
      </w:tr>
      <w:tr w:rsidR="00EF7D4F" w:rsidRPr="006023BE" w:rsidTr="006023BE">
        <w:tc>
          <w:tcPr>
            <w:tcW w:w="3681" w:type="dxa"/>
          </w:tcPr>
          <w:p w:rsidR="00EF7D4F" w:rsidRPr="006023BE" w:rsidRDefault="00EF7D4F" w:rsidP="00EF7D4F">
            <w:pPr>
              <w:spacing w:after="0" w:line="288" w:lineRule="auto"/>
              <w:rPr>
                <w:b/>
                <w:sz w:val="24"/>
                <w:szCs w:val="24"/>
              </w:rPr>
            </w:pPr>
          </w:p>
        </w:tc>
        <w:tc>
          <w:tcPr>
            <w:tcW w:w="5669" w:type="dxa"/>
          </w:tcPr>
          <w:p w:rsidR="00EF7D4F" w:rsidRPr="006023BE" w:rsidRDefault="00EF7D4F" w:rsidP="00EF7D4F">
            <w:pPr>
              <w:spacing w:after="0" w:line="288" w:lineRule="auto"/>
              <w:rPr>
                <w:b/>
                <w:sz w:val="24"/>
                <w:szCs w:val="24"/>
              </w:rPr>
            </w:pPr>
          </w:p>
        </w:tc>
      </w:tr>
      <w:tr w:rsidR="00EF7D4F" w:rsidRPr="006023BE" w:rsidTr="006023BE">
        <w:tc>
          <w:tcPr>
            <w:tcW w:w="3681" w:type="dxa"/>
          </w:tcPr>
          <w:p w:rsidR="00EF7D4F" w:rsidRPr="006023BE" w:rsidRDefault="00EF7D4F" w:rsidP="00EF7D4F">
            <w:pPr>
              <w:spacing w:after="0" w:line="288" w:lineRule="auto"/>
              <w:rPr>
                <w:b/>
                <w:sz w:val="24"/>
                <w:szCs w:val="24"/>
              </w:rPr>
            </w:pPr>
          </w:p>
        </w:tc>
        <w:tc>
          <w:tcPr>
            <w:tcW w:w="5669" w:type="dxa"/>
          </w:tcPr>
          <w:p w:rsidR="00EF7D4F" w:rsidRPr="006023BE" w:rsidRDefault="00EF7D4F" w:rsidP="00EF7D4F">
            <w:pPr>
              <w:spacing w:after="0" w:line="288" w:lineRule="auto"/>
              <w:rPr>
                <w:b/>
                <w:sz w:val="24"/>
                <w:szCs w:val="24"/>
              </w:rPr>
            </w:pPr>
          </w:p>
        </w:tc>
      </w:tr>
    </w:tbl>
    <w:p w:rsidR="006023BE" w:rsidRDefault="006023BE">
      <w:pPr>
        <w:rPr>
          <w:b/>
        </w:rPr>
      </w:pPr>
    </w:p>
    <w:p w:rsidR="006023BE" w:rsidRPr="006023BE" w:rsidRDefault="006023BE">
      <w:pPr>
        <w:rPr>
          <w:b/>
        </w:rPr>
      </w:pPr>
    </w:p>
    <w:p w:rsidR="000F7D51" w:rsidRDefault="001E3174"/>
    <w:sectPr w:rsidR="000F7D51" w:rsidSect="00243112">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174" w:rsidRDefault="001E3174" w:rsidP="0072619A">
      <w:pPr>
        <w:spacing w:after="0" w:line="240" w:lineRule="auto"/>
      </w:pPr>
      <w:r>
        <w:separator/>
      </w:r>
    </w:p>
  </w:endnote>
  <w:endnote w:type="continuationSeparator" w:id="0">
    <w:p w:rsidR="001E3174" w:rsidRDefault="001E3174" w:rsidP="0072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6933052"/>
      <w:docPartObj>
        <w:docPartGallery w:val="Page Numbers (Bottom of Page)"/>
        <w:docPartUnique/>
      </w:docPartObj>
    </w:sdtPr>
    <w:sdtContent>
      <w:p w:rsidR="0072619A" w:rsidRDefault="0072619A" w:rsidP="00D029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2619A" w:rsidRDefault="00726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2231419"/>
      <w:docPartObj>
        <w:docPartGallery w:val="Page Numbers (Bottom of Page)"/>
        <w:docPartUnique/>
      </w:docPartObj>
    </w:sdtPr>
    <w:sdtContent>
      <w:p w:rsidR="0072619A" w:rsidRDefault="0072619A" w:rsidP="00D029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2619A" w:rsidRDefault="0072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174" w:rsidRDefault="001E3174" w:rsidP="0072619A">
      <w:pPr>
        <w:spacing w:after="0" w:line="240" w:lineRule="auto"/>
      </w:pPr>
      <w:r>
        <w:separator/>
      </w:r>
    </w:p>
  </w:footnote>
  <w:footnote w:type="continuationSeparator" w:id="0">
    <w:p w:rsidR="001E3174" w:rsidRDefault="001E3174" w:rsidP="0072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C10AF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0C0AE34"/>
    <w:lvl w:ilvl="0">
      <w:start w:val="1"/>
      <w:numFmt w:val="bullet"/>
      <w:pStyle w:val="ListBullet3"/>
      <w:lvlText w:val=""/>
      <w:lvlJc w:val="left"/>
      <w:pPr>
        <w:tabs>
          <w:tab w:val="num" w:pos="1021"/>
        </w:tabs>
        <w:ind w:left="1021" w:hanging="341"/>
      </w:pPr>
      <w:rPr>
        <w:rFonts w:ascii="Symbol" w:hAnsi="Symbol" w:hint="default"/>
      </w:rPr>
    </w:lvl>
  </w:abstractNum>
  <w:abstractNum w:abstractNumId="2" w15:restartNumberingAfterBreak="0">
    <w:nsid w:val="FFFFFF83"/>
    <w:multiLevelType w:val="singleLevel"/>
    <w:tmpl w:val="2420490A"/>
    <w:lvl w:ilvl="0">
      <w:start w:val="1"/>
      <w:numFmt w:val="bullet"/>
      <w:pStyle w:val="ListBullet2"/>
      <w:lvlText w:val=""/>
      <w:lvlJc w:val="left"/>
      <w:pPr>
        <w:tabs>
          <w:tab w:val="num" w:pos="680"/>
        </w:tabs>
        <w:ind w:left="680" w:hanging="340"/>
      </w:pPr>
      <w:rPr>
        <w:rFonts w:ascii="Symbol" w:hAnsi="Symbol" w:hint="default"/>
      </w:rPr>
    </w:lvl>
  </w:abstractNum>
  <w:abstractNum w:abstractNumId="3" w15:restartNumberingAfterBreak="0">
    <w:nsid w:val="FFFFFF89"/>
    <w:multiLevelType w:val="singleLevel"/>
    <w:tmpl w:val="99FE4D22"/>
    <w:lvl w:ilvl="0">
      <w:start w:val="1"/>
      <w:numFmt w:val="bullet"/>
      <w:pStyle w:val="ListBullet"/>
      <w:lvlText w:val=""/>
      <w:lvlJc w:val="left"/>
      <w:pPr>
        <w:tabs>
          <w:tab w:val="num" w:pos="680"/>
        </w:tabs>
        <w:ind w:left="680" w:hanging="340"/>
      </w:pPr>
      <w:rPr>
        <w:rFonts w:ascii="Symbol" w:hAnsi="Symbol" w:hint="default"/>
      </w:rPr>
    </w:lvl>
  </w:abstractNum>
  <w:abstractNum w:abstractNumId="4" w15:restartNumberingAfterBreak="0">
    <w:nsid w:val="00893A27"/>
    <w:multiLevelType w:val="multilevel"/>
    <w:tmpl w:val="7826D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4AE459E"/>
    <w:multiLevelType w:val="hybridMultilevel"/>
    <w:tmpl w:val="F608399E"/>
    <w:lvl w:ilvl="0" w:tplc="EE1C4AC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27667"/>
    <w:multiLevelType w:val="hybridMultilevel"/>
    <w:tmpl w:val="CCAC7190"/>
    <w:lvl w:ilvl="0" w:tplc="E8C2DC6E">
      <w:start w:val="1"/>
      <w:numFmt w:val="decimal"/>
      <w:pStyle w:val="List"/>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04D20"/>
    <w:multiLevelType w:val="hybridMultilevel"/>
    <w:tmpl w:val="F9DAB08C"/>
    <w:lvl w:ilvl="0" w:tplc="A0FEA58A">
      <w:start w:val="1"/>
      <w:numFmt w:val="lowerLetter"/>
      <w:lvlText w:val="%1)"/>
      <w:lvlJc w:val="left"/>
      <w:pPr>
        <w:tabs>
          <w:tab w:val="num" w:pos="680"/>
        </w:tabs>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7529D"/>
    <w:multiLevelType w:val="hybridMultilevel"/>
    <w:tmpl w:val="EA7E97DE"/>
    <w:lvl w:ilvl="0" w:tplc="FDB4966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9" w15:restartNumberingAfterBreak="0">
    <w:nsid w:val="283649B9"/>
    <w:multiLevelType w:val="hybridMultilevel"/>
    <w:tmpl w:val="66A64472"/>
    <w:lvl w:ilvl="0" w:tplc="154ED932">
      <w:start w:val="1"/>
      <w:numFmt w:val="decimal"/>
      <w:pStyle w:val="Style1TOC"/>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D592B"/>
    <w:multiLevelType w:val="hybridMultilevel"/>
    <w:tmpl w:val="66B828E8"/>
    <w:lvl w:ilvl="0" w:tplc="8DC8BB42">
      <w:start w:val="1"/>
      <w:numFmt w:val="bullet"/>
      <w:lvlText w:val=""/>
      <w:lvlJc w:val="left"/>
      <w:pPr>
        <w:tabs>
          <w:tab w:val="num" w:pos="680"/>
        </w:tabs>
        <w:ind w:left="680" w:hanging="34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BA43EA8"/>
    <w:multiLevelType w:val="hybridMultilevel"/>
    <w:tmpl w:val="C9FC4E8E"/>
    <w:lvl w:ilvl="0" w:tplc="4DEE0A04">
      <w:start w:val="1"/>
      <w:numFmt w:val="lowerLetter"/>
      <w:pStyle w:val="List2"/>
      <w:lvlText w:val="%1)"/>
      <w:lvlJc w:val="left"/>
      <w:pPr>
        <w:tabs>
          <w:tab w:val="num" w:pos="907"/>
        </w:tabs>
        <w:ind w:left="90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756AF"/>
    <w:multiLevelType w:val="hybridMultilevel"/>
    <w:tmpl w:val="A126A804"/>
    <w:lvl w:ilvl="0" w:tplc="63FEA334">
      <w:start w:val="1"/>
      <w:numFmt w:val="decimal"/>
      <w:lvlText w:val="%1."/>
      <w:lvlJc w:val="left"/>
      <w:pPr>
        <w:tabs>
          <w:tab w:val="num" w:pos="170"/>
        </w:tabs>
        <w:ind w:left="170" w:hanging="1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2C15B8"/>
    <w:multiLevelType w:val="hybridMultilevel"/>
    <w:tmpl w:val="CA247202"/>
    <w:lvl w:ilvl="0" w:tplc="3DCE75A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20E98"/>
    <w:multiLevelType w:val="hybridMultilevel"/>
    <w:tmpl w:val="2794ACE0"/>
    <w:lvl w:ilvl="0" w:tplc="722A4ADC">
      <w:start w:val="1"/>
      <w:numFmt w:val="bullet"/>
      <w:lvlText w:val=""/>
      <w:lvlJc w:val="left"/>
      <w:pPr>
        <w:tabs>
          <w:tab w:val="num" w:pos="1021"/>
        </w:tabs>
        <w:ind w:left="1021" w:hanging="341"/>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B5FFA"/>
    <w:multiLevelType w:val="hybridMultilevel"/>
    <w:tmpl w:val="8F5E6C58"/>
    <w:lvl w:ilvl="0" w:tplc="EE62DBD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3358A"/>
    <w:multiLevelType w:val="hybridMultilevel"/>
    <w:tmpl w:val="5B3C6FCE"/>
    <w:lvl w:ilvl="0" w:tplc="6458F5A0">
      <w:start w:val="1"/>
      <w:numFmt w:val="decimal"/>
      <w:lvlText w:val="%1."/>
      <w:lvlJc w:val="left"/>
      <w:pPr>
        <w:tabs>
          <w:tab w:val="num" w:pos="1077"/>
        </w:tabs>
        <w:ind w:left="107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E3792"/>
    <w:multiLevelType w:val="hybridMultilevel"/>
    <w:tmpl w:val="596AB492"/>
    <w:lvl w:ilvl="0" w:tplc="E60E5456">
      <w:start w:val="1"/>
      <w:numFmt w:val="bullet"/>
      <w:pStyle w:val="List4"/>
      <w:lvlText w:val=""/>
      <w:lvlJc w:val="left"/>
      <w:pPr>
        <w:tabs>
          <w:tab w:val="num" w:pos="1189"/>
        </w:tabs>
        <w:ind w:left="1189" w:hanging="17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E746B"/>
    <w:multiLevelType w:val="hybridMultilevel"/>
    <w:tmpl w:val="ED486662"/>
    <w:lvl w:ilvl="0" w:tplc="9ADEE140">
      <w:start w:val="1"/>
      <w:numFmt w:val="decimal"/>
      <w:lvlText w:val="%1."/>
      <w:lvlJc w:val="left"/>
      <w:pPr>
        <w:tabs>
          <w:tab w:val="num" w:pos="357"/>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7"/>
  </w:num>
  <w:num w:numId="6">
    <w:abstractNumId w:val="3"/>
  </w:num>
  <w:num w:numId="7">
    <w:abstractNumId w:val="2"/>
  </w:num>
  <w:num w:numId="8">
    <w:abstractNumId w:val="1"/>
  </w:num>
  <w:num w:numId="9">
    <w:abstractNumId w:val="1"/>
  </w:num>
  <w:num w:numId="10">
    <w:abstractNumId w:val="1"/>
  </w:num>
  <w:num w:numId="11">
    <w:abstractNumId w:val="14"/>
  </w:num>
  <w:num w:numId="12">
    <w:abstractNumId w:val="14"/>
  </w:num>
  <w:num w:numId="13">
    <w:abstractNumId w:val="17"/>
  </w:num>
  <w:num w:numId="14">
    <w:abstractNumId w:val="0"/>
  </w:num>
  <w:num w:numId="15">
    <w:abstractNumId w:val="0"/>
  </w:num>
  <w:num w:numId="16">
    <w:abstractNumId w:val="16"/>
  </w:num>
  <w:num w:numId="17">
    <w:abstractNumId w:val="1"/>
  </w:num>
  <w:num w:numId="18">
    <w:abstractNumId w:val="5"/>
  </w:num>
  <w:num w:numId="19">
    <w:abstractNumId w:val="5"/>
  </w:num>
  <w:num w:numId="20">
    <w:abstractNumId w:val="5"/>
  </w:num>
  <w:num w:numId="21">
    <w:abstractNumId w:val="18"/>
  </w:num>
  <w:num w:numId="22">
    <w:abstractNumId w:val="4"/>
  </w:num>
  <w:num w:numId="23">
    <w:abstractNumId w:val="3"/>
  </w:num>
  <w:num w:numId="24">
    <w:abstractNumId w:val="6"/>
  </w:num>
  <w:num w:numId="25">
    <w:abstractNumId w:val="13"/>
  </w:num>
  <w:num w:numId="26">
    <w:abstractNumId w:val="6"/>
  </w:num>
  <w:num w:numId="27">
    <w:abstractNumId w:val="15"/>
  </w:num>
  <w:num w:numId="28">
    <w:abstractNumId w:val="9"/>
  </w:num>
  <w:num w:numId="29">
    <w:abstractNumId w:val="11"/>
  </w:num>
  <w:num w:numId="30">
    <w:abstractNumId w:val="10"/>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D2"/>
    <w:rsid w:val="00002E9F"/>
    <w:rsid w:val="000047A7"/>
    <w:rsid w:val="0001038B"/>
    <w:rsid w:val="00026E23"/>
    <w:rsid w:val="00035B77"/>
    <w:rsid w:val="00061106"/>
    <w:rsid w:val="000723EA"/>
    <w:rsid w:val="0007494F"/>
    <w:rsid w:val="00082316"/>
    <w:rsid w:val="0009351A"/>
    <w:rsid w:val="00093F2E"/>
    <w:rsid w:val="000A142F"/>
    <w:rsid w:val="000A34DC"/>
    <w:rsid w:val="000A75E8"/>
    <w:rsid w:val="000B00C1"/>
    <w:rsid w:val="000D4ECC"/>
    <w:rsid w:val="000E3D63"/>
    <w:rsid w:val="000E6ED2"/>
    <w:rsid w:val="000F4FCD"/>
    <w:rsid w:val="00102FF6"/>
    <w:rsid w:val="00103812"/>
    <w:rsid w:val="00112A10"/>
    <w:rsid w:val="0011397F"/>
    <w:rsid w:val="00114C9F"/>
    <w:rsid w:val="001367D0"/>
    <w:rsid w:val="001602F1"/>
    <w:rsid w:val="00166150"/>
    <w:rsid w:val="00166A50"/>
    <w:rsid w:val="001712C3"/>
    <w:rsid w:val="001778F6"/>
    <w:rsid w:val="00180D86"/>
    <w:rsid w:val="00191DD9"/>
    <w:rsid w:val="00193F67"/>
    <w:rsid w:val="001941E4"/>
    <w:rsid w:val="00196FF7"/>
    <w:rsid w:val="001B2E8C"/>
    <w:rsid w:val="001B4655"/>
    <w:rsid w:val="001B48DA"/>
    <w:rsid w:val="001C4483"/>
    <w:rsid w:val="001D1B57"/>
    <w:rsid w:val="001D7EE6"/>
    <w:rsid w:val="001E16E0"/>
    <w:rsid w:val="001E3174"/>
    <w:rsid w:val="001E3884"/>
    <w:rsid w:val="001E5394"/>
    <w:rsid w:val="001E6995"/>
    <w:rsid w:val="00204070"/>
    <w:rsid w:val="0020577A"/>
    <w:rsid w:val="002061B1"/>
    <w:rsid w:val="002228E1"/>
    <w:rsid w:val="00224A54"/>
    <w:rsid w:val="0022762D"/>
    <w:rsid w:val="002362B3"/>
    <w:rsid w:val="0024106D"/>
    <w:rsid w:val="00243112"/>
    <w:rsid w:val="00245D2F"/>
    <w:rsid w:val="00281C46"/>
    <w:rsid w:val="0028309E"/>
    <w:rsid w:val="0028418D"/>
    <w:rsid w:val="00294EB8"/>
    <w:rsid w:val="00297511"/>
    <w:rsid w:val="002B6E37"/>
    <w:rsid w:val="002C4C98"/>
    <w:rsid w:val="002D0266"/>
    <w:rsid w:val="002D08DF"/>
    <w:rsid w:val="002D3BB9"/>
    <w:rsid w:val="00307324"/>
    <w:rsid w:val="0031142C"/>
    <w:rsid w:val="003151F5"/>
    <w:rsid w:val="003210FD"/>
    <w:rsid w:val="003330DB"/>
    <w:rsid w:val="00337FE0"/>
    <w:rsid w:val="00346B99"/>
    <w:rsid w:val="0038474E"/>
    <w:rsid w:val="00387926"/>
    <w:rsid w:val="003910FF"/>
    <w:rsid w:val="003A5611"/>
    <w:rsid w:val="003B2EE6"/>
    <w:rsid w:val="003B5BFD"/>
    <w:rsid w:val="003C1AF5"/>
    <w:rsid w:val="003C5A7A"/>
    <w:rsid w:val="003D102D"/>
    <w:rsid w:val="003D57A2"/>
    <w:rsid w:val="003E28EB"/>
    <w:rsid w:val="003F297F"/>
    <w:rsid w:val="003F2D28"/>
    <w:rsid w:val="003F605C"/>
    <w:rsid w:val="00400ABB"/>
    <w:rsid w:val="00400D85"/>
    <w:rsid w:val="00402745"/>
    <w:rsid w:val="00406538"/>
    <w:rsid w:val="004210F9"/>
    <w:rsid w:val="004537BF"/>
    <w:rsid w:val="00470A1E"/>
    <w:rsid w:val="00486020"/>
    <w:rsid w:val="0048655B"/>
    <w:rsid w:val="00490DD4"/>
    <w:rsid w:val="004B5E86"/>
    <w:rsid w:val="004C11E9"/>
    <w:rsid w:val="004C1D2B"/>
    <w:rsid w:val="004F56E9"/>
    <w:rsid w:val="00502325"/>
    <w:rsid w:val="00515DD8"/>
    <w:rsid w:val="005210A3"/>
    <w:rsid w:val="00533F31"/>
    <w:rsid w:val="00536A83"/>
    <w:rsid w:val="0054252F"/>
    <w:rsid w:val="00556944"/>
    <w:rsid w:val="00560974"/>
    <w:rsid w:val="005716D9"/>
    <w:rsid w:val="0058070F"/>
    <w:rsid w:val="005B05B4"/>
    <w:rsid w:val="005B238C"/>
    <w:rsid w:val="005C6E23"/>
    <w:rsid w:val="005D14F7"/>
    <w:rsid w:val="005D46AB"/>
    <w:rsid w:val="005E1BC4"/>
    <w:rsid w:val="005E698C"/>
    <w:rsid w:val="006022F6"/>
    <w:rsid w:val="006023BE"/>
    <w:rsid w:val="006047C6"/>
    <w:rsid w:val="006238DA"/>
    <w:rsid w:val="00624732"/>
    <w:rsid w:val="00631102"/>
    <w:rsid w:val="00642755"/>
    <w:rsid w:val="0064685D"/>
    <w:rsid w:val="0065048F"/>
    <w:rsid w:val="00650664"/>
    <w:rsid w:val="00655A4E"/>
    <w:rsid w:val="00660782"/>
    <w:rsid w:val="00691E6F"/>
    <w:rsid w:val="006930AF"/>
    <w:rsid w:val="006962D0"/>
    <w:rsid w:val="00696426"/>
    <w:rsid w:val="006A46CB"/>
    <w:rsid w:val="006A652A"/>
    <w:rsid w:val="006C52DD"/>
    <w:rsid w:val="006C5F98"/>
    <w:rsid w:val="006D0839"/>
    <w:rsid w:val="006E67AD"/>
    <w:rsid w:val="006F31FD"/>
    <w:rsid w:val="0070019F"/>
    <w:rsid w:val="0070180D"/>
    <w:rsid w:val="00705598"/>
    <w:rsid w:val="007176A6"/>
    <w:rsid w:val="0072619A"/>
    <w:rsid w:val="00733EF8"/>
    <w:rsid w:val="00734C94"/>
    <w:rsid w:val="00741898"/>
    <w:rsid w:val="007742BB"/>
    <w:rsid w:val="00777911"/>
    <w:rsid w:val="00786127"/>
    <w:rsid w:val="007B1E22"/>
    <w:rsid w:val="007B2A36"/>
    <w:rsid w:val="007B459F"/>
    <w:rsid w:val="007B76F7"/>
    <w:rsid w:val="007C4A29"/>
    <w:rsid w:val="007C5045"/>
    <w:rsid w:val="007C7B9E"/>
    <w:rsid w:val="007D1367"/>
    <w:rsid w:val="007D57E1"/>
    <w:rsid w:val="007E4148"/>
    <w:rsid w:val="007F3B4C"/>
    <w:rsid w:val="0080435F"/>
    <w:rsid w:val="00820718"/>
    <w:rsid w:val="00824937"/>
    <w:rsid w:val="00830D29"/>
    <w:rsid w:val="00831416"/>
    <w:rsid w:val="008337DC"/>
    <w:rsid w:val="00836B5E"/>
    <w:rsid w:val="0084350E"/>
    <w:rsid w:val="00862E6C"/>
    <w:rsid w:val="008846B6"/>
    <w:rsid w:val="00886DBE"/>
    <w:rsid w:val="00887104"/>
    <w:rsid w:val="00887336"/>
    <w:rsid w:val="0089313F"/>
    <w:rsid w:val="008A1158"/>
    <w:rsid w:val="008B0EE3"/>
    <w:rsid w:val="008D7BD1"/>
    <w:rsid w:val="008F0C73"/>
    <w:rsid w:val="0090158D"/>
    <w:rsid w:val="00902B93"/>
    <w:rsid w:val="00902D31"/>
    <w:rsid w:val="00912888"/>
    <w:rsid w:val="00933AC8"/>
    <w:rsid w:val="00953855"/>
    <w:rsid w:val="00960B8A"/>
    <w:rsid w:val="00961D75"/>
    <w:rsid w:val="00963890"/>
    <w:rsid w:val="00966A65"/>
    <w:rsid w:val="009675EE"/>
    <w:rsid w:val="009911CC"/>
    <w:rsid w:val="009A127F"/>
    <w:rsid w:val="009A4571"/>
    <w:rsid w:val="009B244E"/>
    <w:rsid w:val="009B614E"/>
    <w:rsid w:val="009C23F0"/>
    <w:rsid w:val="009C3823"/>
    <w:rsid w:val="009C432E"/>
    <w:rsid w:val="009D6726"/>
    <w:rsid w:val="009D7DCE"/>
    <w:rsid w:val="009E197A"/>
    <w:rsid w:val="009E1BB5"/>
    <w:rsid w:val="009F3AA1"/>
    <w:rsid w:val="009F5FD8"/>
    <w:rsid w:val="00A03B42"/>
    <w:rsid w:val="00A05452"/>
    <w:rsid w:val="00A07BFA"/>
    <w:rsid w:val="00A10F29"/>
    <w:rsid w:val="00A11972"/>
    <w:rsid w:val="00A25853"/>
    <w:rsid w:val="00A402E9"/>
    <w:rsid w:val="00A4234E"/>
    <w:rsid w:val="00A679E8"/>
    <w:rsid w:val="00A67B31"/>
    <w:rsid w:val="00A71CF5"/>
    <w:rsid w:val="00A71F08"/>
    <w:rsid w:val="00A75F18"/>
    <w:rsid w:val="00A80E0B"/>
    <w:rsid w:val="00A966DF"/>
    <w:rsid w:val="00AA4BF3"/>
    <w:rsid w:val="00AC05B0"/>
    <w:rsid w:val="00AC07D2"/>
    <w:rsid w:val="00AD365E"/>
    <w:rsid w:val="00AF372C"/>
    <w:rsid w:val="00B01B2C"/>
    <w:rsid w:val="00B067E9"/>
    <w:rsid w:val="00B13805"/>
    <w:rsid w:val="00B15615"/>
    <w:rsid w:val="00B21338"/>
    <w:rsid w:val="00B45396"/>
    <w:rsid w:val="00B52C65"/>
    <w:rsid w:val="00B64397"/>
    <w:rsid w:val="00B6462A"/>
    <w:rsid w:val="00B654F8"/>
    <w:rsid w:val="00B72EC3"/>
    <w:rsid w:val="00B7467C"/>
    <w:rsid w:val="00B81B0D"/>
    <w:rsid w:val="00B87BB7"/>
    <w:rsid w:val="00B91337"/>
    <w:rsid w:val="00B92FC7"/>
    <w:rsid w:val="00BA38F4"/>
    <w:rsid w:val="00BA3E7B"/>
    <w:rsid w:val="00BA57BA"/>
    <w:rsid w:val="00BD0BC0"/>
    <w:rsid w:val="00BD3BA6"/>
    <w:rsid w:val="00BE70F7"/>
    <w:rsid w:val="00C02509"/>
    <w:rsid w:val="00C10240"/>
    <w:rsid w:val="00C15F69"/>
    <w:rsid w:val="00C177F8"/>
    <w:rsid w:val="00C33109"/>
    <w:rsid w:val="00C3367F"/>
    <w:rsid w:val="00C3780D"/>
    <w:rsid w:val="00C51C9D"/>
    <w:rsid w:val="00C52805"/>
    <w:rsid w:val="00C94F3F"/>
    <w:rsid w:val="00CA023E"/>
    <w:rsid w:val="00CA7423"/>
    <w:rsid w:val="00CC0D67"/>
    <w:rsid w:val="00CC60B3"/>
    <w:rsid w:val="00CE1811"/>
    <w:rsid w:val="00CE5B2D"/>
    <w:rsid w:val="00CE60F8"/>
    <w:rsid w:val="00D0320C"/>
    <w:rsid w:val="00D03D67"/>
    <w:rsid w:val="00D044BA"/>
    <w:rsid w:val="00D06AD7"/>
    <w:rsid w:val="00D2429F"/>
    <w:rsid w:val="00D30E6E"/>
    <w:rsid w:val="00D37E58"/>
    <w:rsid w:val="00D40943"/>
    <w:rsid w:val="00D41E31"/>
    <w:rsid w:val="00D440BC"/>
    <w:rsid w:val="00D5290C"/>
    <w:rsid w:val="00D6129C"/>
    <w:rsid w:val="00D639A9"/>
    <w:rsid w:val="00D67922"/>
    <w:rsid w:val="00D7065D"/>
    <w:rsid w:val="00D733B1"/>
    <w:rsid w:val="00D76A6C"/>
    <w:rsid w:val="00D8501C"/>
    <w:rsid w:val="00D92271"/>
    <w:rsid w:val="00DA1D0C"/>
    <w:rsid w:val="00DA588F"/>
    <w:rsid w:val="00DB50F1"/>
    <w:rsid w:val="00DC626A"/>
    <w:rsid w:val="00DD05FE"/>
    <w:rsid w:val="00DD12F9"/>
    <w:rsid w:val="00DF491D"/>
    <w:rsid w:val="00DF5E31"/>
    <w:rsid w:val="00E10E48"/>
    <w:rsid w:val="00E40349"/>
    <w:rsid w:val="00E466AC"/>
    <w:rsid w:val="00E66147"/>
    <w:rsid w:val="00E71808"/>
    <w:rsid w:val="00E93F57"/>
    <w:rsid w:val="00EA7B3A"/>
    <w:rsid w:val="00EB5B9E"/>
    <w:rsid w:val="00EB6EDD"/>
    <w:rsid w:val="00EC1CA6"/>
    <w:rsid w:val="00ED06D3"/>
    <w:rsid w:val="00ED1FCE"/>
    <w:rsid w:val="00ED7240"/>
    <w:rsid w:val="00EE6713"/>
    <w:rsid w:val="00EF7D4F"/>
    <w:rsid w:val="00F05DF3"/>
    <w:rsid w:val="00F4700C"/>
    <w:rsid w:val="00F5594C"/>
    <w:rsid w:val="00F62FBB"/>
    <w:rsid w:val="00F66C86"/>
    <w:rsid w:val="00F86A4E"/>
    <w:rsid w:val="00F92651"/>
    <w:rsid w:val="00F94A14"/>
    <w:rsid w:val="00FA2896"/>
    <w:rsid w:val="00FB2CEC"/>
    <w:rsid w:val="00FB3304"/>
    <w:rsid w:val="00FC31FE"/>
    <w:rsid w:val="00FC3D20"/>
    <w:rsid w:val="00FC72A7"/>
    <w:rsid w:val="00FD2475"/>
    <w:rsid w:val="00FD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1D32"/>
  <w14:defaultImageDpi w14:val="32767"/>
  <w15:chartTrackingRefBased/>
  <w15:docId w15:val="{6FFB578B-F998-554F-8F82-DA99043E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iPriority="0" w:unhideWhenUsed="1" w:qFormat="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3BE"/>
    <w:pPr>
      <w:spacing w:after="200" w:line="276" w:lineRule="auto"/>
    </w:pPr>
    <w:rPr>
      <w:rFonts w:eastAsia="Calibri" w:cs="Book Antiqua"/>
      <w:color w:val="auto"/>
      <w:sz w:val="20"/>
      <w:szCs w:val="20"/>
      <w:lang w:val="en-CA" w:eastAsia="en-CA"/>
    </w:rPr>
  </w:style>
  <w:style w:type="paragraph" w:styleId="Heading1">
    <w:name w:val="heading 1"/>
    <w:basedOn w:val="Normal"/>
    <w:next w:val="Normal"/>
    <w:link w:val="Heading1Char"/>
    <w:autoRedefine/>
    <w:rsid w:val="00CE1811"/>
    <w:pPr>
      <w:keepNext/>
      <w:outlineLvl w:val="0"/>
    </w:pPr>
    <w:rPr>
      <w:rFonts w:ascii="Arial" w:eastAsiaTheme="majorEastAsia" w:hAnsi="Arial" w:cstheme="majorBidi"/>
      <w:b/>
      <w:bCs/>
      <w:kern w:val="32"/>
      <w:sz w:val="28"/>
      <w:szCs w:val="32"/>
      <w:lang w:val="en-GB"/>
    </w:rPr>
  </w:style>
  <w:style w:type="paragraph" w:styleId="Heading2">
    <w:name w:val="heading 2"/>
    <w:basedOn w:val="Normal"/>
    <w:link w:val="Heading2Char"/>
    <w:autoRedefine/>
    <w:uiPriority w:val="9"/>
    <w:qFormat/>
    <w:rsid w:val="00CE1811"/>
    <w:pPr>
      <w:outlineLvl w:val="1"/>
    </w:pPr>
    <w:rPr>
      <w:rFonts w:eastAsiaTheme="minorHAnsi" w:cs="Times New Roman"/>
      <w:b/>
      <w:bCs/>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iPriority w:val="99"/>
    <w:unhideWhenUsed/>
    <w:qFormat/>
    <w:rsid w:val="00933AC8"/>
    <w:pPr>
      <w:numPr>
        <w:numId w:val="23"/>
      </w:numPr>
      <w:contextualSpacing/>
    </w:pPr>
  </w:style>
  <w:style w:type="paragraph" w:customStyle="1" w:styleId="Normalindent2">
    <w:name w:val="Normal indent 2"/>
    <w:basedOn w:val="Normal"/>
    <w:autoRedefine/>
    <w:qFormat/>
    <w:rsid w:val="00886DBE"/>
    <w:pPr>
      <w:ind w:left="992"/>
    </w:pPr>
  </w:style>
  <w:style w:type="paragraph" w:styleId="ListBullet2">
    <w:name w:val="List Bullet 2"/>
    <w:basedOn w:val="Normal"/>
    <w:autoRedefine/>
    <w:qFormat/>
    <w:rsid w:val="00400ABB"/>
    <w:pPr>
      <w:numPr>
        <w:numId w:val="7"/>
      </w:numPr>
      <w:contextualSpacing/>
    </w:pPr>
  </w:style>
  <w:style w:type="paragraph" w:styleId="Title">
    <w:name w:val="Title"/>
    <w:basedOn w:val="Normal"/>
    <w:next w:val="Normal"/>
    <w:link w:val="TitleChar"/>
    <w:autoRedefine/>
    <w:uiPriority w:val="10"/>
    <w:qFormat/>
    <w:rsid w:val="00CE1811"/>
    <w:pPr>
      <w:jc w:val="center"/>
    </w:pPr>
    <w:rPr>
      <w:rFonts w:ascii="Arial" w:eastAsiaTheme="majorEastAsia" w:hAnsi="Arial" w:cstheme="majorBidi"/>
      <w:b/>
      <w:spacing w:val="-10"/>
      <w:kern w:val="28"/>
      <w:sz w:val="32"/>
      <w:szCs w:val="56"/>
      <w:lang w:val="en-US" w:eastAsia="en-US"/>
    </w:rPr>
  </w:style>
  <w:style w:type="character" w:customStyle="1" w:styleId="TitleChar">
    <w:name w:val="Title Char"/>
    <w:basedOn w:val="DefaultParagraphFont"/>
    <w:link w:val="Title"/>
    <w:uiPriority w:val="10"/>
    <w:rsid w:val="00CE1811"/>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rsid w:val="00CE1811"/>
    <w:rPr>
      <w:rFonts w:ascii="Arial" w:eastAsiaTheme="majorEastAsia" w:hAnsi="Arial" w:cstheme="majorBidi"/>
      <w:b/>
      <w:bCs/>
      <w:color w:val="auto"/>
      <w:kern w:val="32"/>
      <w:sz w:val="28"/>
      <w:szCs w:val="32"/>
      <w:lang w:val="en-GB" w:eastAsia="ja-JP"/>
    </w:rPr>
  </w:style>
  <w:style w:type="paragraph" w:styleId="List">
    <w:name w:val="List"/>
    <w:basedOn w:val="Normal"/>
    <w:autoRedefine/>
    <w:uiPriority w:val="99"/>
    <w:unhideWhenUsed/>
    <w:qFormat/>
    <w:rsid w:val="00CE1811"/>
    <w:pPr>
      <w:numPr>
        <w:numId w:val="26"/>
      </w:numPr>
      <w:contextualSpacing/>
    </w:pPr>
  </w:style>
  <w:style w:type="character" w:customStyle="1" w:styleId="Heading2Char">
    <w:name w:val="Heading 2 Char"/>
    <w:basedOn w:val="DefaultParagraphFont"/>
    <w:link w:val="Heading2"/>
    <w:uiPriority w:val="9"/>
    <w:rsid w:val="00CE1811"/>
    <w:rPr>
      <w:b/>
      <w:bCs/>
      <w:szCs w:val="36"/>
    </w:rPr>
  </w:style>
  <w:style w:type="paragraph" w:styleId="ListBullet3">
    <w:name w:val="List Bullet 3"/>
    <w:basedOn w:val="Normal"/>
    <w:autoRedefine/>
    <w:qFormat/>
    <w:rsid w:val="0011397F"/>
    <w:pPr>
      <w:numPr>
        <w:numId w:val="17"/>
      </w:numPr>
      <w:spacing w:after="120"/>
    </w:pPr>
  </w:style>
  <w:style w:type="paragraph" w:styleId="List4">
    <w:name w:val="List 4"/>
    <w:basedOn w:val="Normal"/>
    <w:autoRedefine/>
    <w:qFormat/>
    <w:rsid w:val="00400ABB"/>
    <w:pPr>
      <w:numPr>
        <w:numId w:val="13"/>
      </w:numPr>
      <w:contextualSpacing/>
    </w:pPr>
  </w:style>
  <w:style w:type="paragraph" w:styleId="NormalIndent">
    <w:name w:val="Normal Indent"/>
    <w:basedOn w:val="Normal"/>
    <w:autoRedefine/>
    <w:uiPriority w:val="99"/>
    <w:unhideWhenUsed/>
    <w:qFormat/>
    <w:rsid w:val="00933AC8"/>
    <w:pPr>
      <w:ind w:left="720"/>
    </w:pPr>
  </w:style>
  <w:style w:type="paragraph" w:styleId="ListBullet4">
    <w:name w:val="List Bullet 4"/>
    <w:basedOn w:val="Normal"/>
    <w:autoRedefine/>
    <w:qFormat/>
    <w:rsid w:val="00400ABB"/>
    <w:pPr>
      <w:numPr>
        <w:numId w:val="15"/>
      </w:numPr>
    </w:pPr>
  </w:style>
  <w:style w:type="paragraph" w:styleId="List2">
    <w:name w:val="List 2"/>
    <w:basedOn w:val="Normal"/>
    <w:autoRedefine/>
    <w:uiPriority w:val="99"/>
    <w:unhideWhenUsed/>
    <w:qFormat/>
    <w:rsid w:val="00F05DF3"/>
    <w:pPr>
      <w:numPr>
        <w:numId w:val="29"/>
      </w:numPr>
      <w:contextualSpacing/>
    </w:pPr>
    <w:rPr>
      <w:rFonts w:cs="Times New Roman"/>
      <w:lang w:val="en-US" w:eastAsia="en-US"/>
    </w:rPr>
  </w:style>
  <w:style w:type="paragraph" w:styleId="TOC1">
    <w:name w:val="toc 1"/>
    <w:basedOn w:val="Normal"/>
    <w:next w:val="Normal"/>
    <w:autoRedefine/>
    <w:rsid w:val="002B6E37"/>
    <w:pPr>
      <w:widowControl w:val="0"/>
      <w:autoSpaceDE w:val="0"/>
      <w:autoSpaceDN w:val="0"/>
      <w:adjustRightInd w:val="0"/>
      <w:spacing w:line="240" w:lineRule="auto"/>
    </w:pPr>
    <w:rPr>
      <w:rFonts w:eastAsia="Times New Roman" w:cs="Times New Roman"/>
      <w:b/>
      <w:lang w:val="en-US" w:eastAsia="en-US"/>
    </w:rPr>
  </w:style>
  <w:style w:type="character" w:styleId="Hyperlink">
    <w:name w:val="Hyperlink"/>
    <w:basedOn w:val="DefaultParagraphFont"/>
    <w:uiPriority w:val="99"/>
    <w:semiHidden/>
    <w:unhideWhenUsed/>
    <w:qFormat/>
    <w:rsid w:val="00CE1811"/>
    <w:rPr>
      <w:rFonts w:ascii="Book Antiqua" w:hAnsi="Book Antiqua"/>
      <w:color w:val="0563C1" w:themeColor="hyperlink"/>
      <w:sz w:val="24"/>
      <w:u w:val="single"/>
    </w:rPr>
  </w:style>
  <w:style w:type="paragraph" w:customStyle="1" w:styleId="Style1TOC">
    <w:name w:val="Style1 TOC"/>
    <w:basedOn w:val="TOC1"/>
    <w:autoRedefine/>
    <w:qFormat/>
    <w:rsid w:val="0022762D"/>
    <w:pPr>
      <w:keepNext/>
      <w:keepLines/>
      <w:numPr>
        <w:numId w:val="28"/>
      </w:numPr>
      <w:shd w:val="clear" w:color="auto" w:fill="FFE6C4"/>
      <w:outlineLvl w:val="0"/>
    </w:pPr>
    <w:rPr>
      <w:rFonts w:eastAsiaTheme="majorEastAsia" w:cstheme="majorBidi"/>
      <w:bCs/>
      <w:szCs w:val="26"/>
    </w:rPr>
  </w:style>
  <w:style w:type="table" w:styleId="TableGrid">
    <w:name w:val="Table Grid"/>
    <w:basedOn w:val="TableNormal"/>
    <w:uiPriority w:val="39"/>
    <w:rsid w:val="0060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11CC"/>
    <w:pPr>
      <w:widowControl w:val="0"/>
      <w:autoSpaceDE w:val="0"/>
      <w:autoSpaceDN w:val="0"/>
      <w:adjustRightInd w:val="0"/>
    </w:pPr>
    <w:rPr>
      <w:rFonts w:ascii="Calibri" w:eastAsia="MS Mincho" w:hAnsi="Calibri" w:cs="Calibri"/>
      <w:color w:val="000000"/>
      <w:lang w:eastAsia="ja-JP"/>
    </w:rPr>
  </w:style>
  <w:style w:type="paragraph" w:styleId="ListParagraph">
    <w:name w:val="List Paragraph"/>
    <w:basedOn w:val="Normal"/>
    <w:uiPriority w:val="34"/>
    <w:qFormat/>
    <w:rsid w:val="00EF7D4F"/>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9A"/>
    <w:rPr>
      <w:rFonts w:eastAsia="Calibri" w:cs="Book Antiqua"/>
      <w:color w:val="auto"/>
      <w:sz w:val="20"/>
      <w:szCs w:val="20"/>
      <w:lang w:val="en-CA" w:eastAsia="en-CA"/>
    </w:rPr>
  </w:style>
  <w:style w:type="character" w:styleId="PageNumber">
    <w:name w:val="page number"/>
    <w:basedOn w:val="DefaultParagraphFont"/>
    <w:uiPriority w:val="99"/>
    <w:semiHidden/>
    <w:unhideWhenUsed/>
    <w:rsid w:val="0072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Simcoe/Muskoka Literacy Network</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Hobbs</dc:creator>
  <cp:keywords/>
  <dc:description/>
  <cp:lastModifiedBy>Stephanie Hobbs</cp:lastModifiedBy>
  <cp:revision>8</cp:revision>
  <cp:lastPrinted>2018-09-24T18:28:00Z</cp:lastPrinted>
  <dcterms:created xsi:type="dcterms:W3CDTF">2018-09-24T16:58:00Z</dcterms:created>
  <dcterms:modified xsi:type="dcterms:W3CDTF">2018-09-24T18:40:00Z</dcterms:modified>
</cp:coreProperties>
</file>