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63D21" w14:textId="31CCB717" w:rsidR="00225627" w:rsidRDefault="00225627" w:rsidP="00225627">
      <w:pPr>
        <w:jc w:val="center"/>
        <w:rPr>
          <w:b/>
          <w:bCs/>
          <w:sz w:val="40"/>
          <w:szCs w:val="40"/>
        </w:rPr>
      </w:pPr>
    </w:p>
    <w:p w14:paraId="55F3E3E4" w14:textId="1598C6F9" w:rsidR="00225627" w:rsidRDefault="004E38A6" w:rsidP="00225627">
      <w:pPr>
        <w:jc w:val="center"/>
        <w:rPr>
          <w:b/>
          <w:bCs/>
          <w:sz w:val="40"/>
          <w:szCs w:val="40"/>
        </w:rPr>
      </w:pPr>
      <w:r>
        <w:rPr>
          <w:b/>
          <w:bCs/>
          <w:noProof/>
          <w:sz w:val="40"/>
          <w:szCs w:val="40"/>
          <w:lang w:val="en-US" w:eastAsia="en-US"/>
        </w:rPr>
        <w:drawing>
          <wp:anchor distT="0" distB="0" distL="114300" distR="114300" simplePos="0" relativeHeight="251658240" behindDoc="1" locked="0" layoutInCell="1" allowOverlap="1" wp14:anchorId="6AEA77CD" wp14:editId="55B8E67E">
            <wp:simplePos x="0" y="0"/>
            <wp:positionH relativeFrom="column">
              <wp:posOffset>5069205</wp:posOffset>
            </wp:positionH>
            <wp:positionV relativeFrom="paragraph">
              <wp:posOffset>354330</wp:posOffset>
            </wp:positionV>
            <wp:extent cx="1664970" cy="1259840"/>
            <wp:effectExtent l="0" t="0" r="11430" b="10160"/>
            <wp:wrapThrough wrapText="bothSides">
              <wp:wrapPolygon edited="0">
                <wp:start x="0" y="0"/>
                <wp:lineTo x="0" y="21339"/>
                <wp:lineTo x="21419" y="21339"/>
                <wp:lineTo x="214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497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A97EB" w14:textId="77777777" w:rsidR="00225627" w:rsidRDefault="00225627" w:rsidP="00225627">
      <w:pPr>
        <w:jc w:val="center"/>
        <w:rPr>
          <w:b/>
          <w:bCs/>
          <w:sz w:val="40"/>
          <w:szCs w:val="40"/>
        </w:rPr>
      </w:pPr>
    </w:p>
    <w:p w14:paraId="6222D009" w14:textId="77777777" w:rsidR="00225627" w:rsidRDefault="00225627" w:rsidP="00225627">
      <w:pPr>
        <w:jc w:val="center"/>
        <w:rPr>
          <w:b/>
          <w:bCs/>
          <w:sz w:val="40"/>
          <w:szCs w:val="40"/>
        </w:rPr>
      </w:pPr>
    </w:p>
    <w:p w14:paraId="6C93D5EA" w14:textId="77777777" w:rsidR="007B09C3" w:rsidRDefault="007B09C3" w:rsidP="00225627">
      <w:pPr>
        <w:jc w:val="center"/>
        <w:rPr>
          <w:b/>
          <w:bCs/>
          <w:sz w:val="40"/>
          <w:szCs w:val="40"/>
        </w:rPr>
      </w:pPr>
    </w:p>
    <w:p w14:paraId="316F499D" w14:textId="77777777" w:rsidR="004E38A6" w:rsidRDefault="004E38A6" w:rsidP="007B09C3">
      <w:pPr>
        <w:spacing w:before="120" w:line="312" w:lineRule="auto"/>
        <w:jc w:val="center"/>
        <w:rPr>
          <w:b/>
          <w:bCs/>
          <w:sz w:val="44"/>
          <w:szCs w:val="44"/>
        </w:rPr>
      </w:pPr>
    </w:p>
    <w:p w14:paraId="69D23C7D" w14:textId="77777777" w:rsidR="00225627" w:rsidRPr="007B09C3" w:rsidRDefault="007B09C3" w:rsidP="007B09C3">
      <w:pPr>
        <w:spacing w:before="120" w:line="312" w:lineRule="auto"/>
        <w:jc w:val="center"/>
        <w:rPr>
          <w:b/>
          <w:bCs/>
          <w:sz w:val="44"/>
          <w:szCs w:val="44"/>
        </w:rPr>
      </w:pPr>
      <w:r w:rsidRPr="007B09C3">
        <w:rPr>
          <w:b/>
          <w:bCs/>
          <w:sz w:val="44"/>
          <w:szCs w:val="44"/>
        </w:rPr>
        <w:t xml:space="preserve">LBS </w:t>
      </w:r>
      <w:r w:rsidR="00225627" w:rsidRPr="007B09C3">
        <w:rPr>
          <w:b/>
          <w:bCs/>
          <w:sz w:val="44"/>
          <w:szCs w:val="44"/>
        </w:rPr>
        <w:t xml:space="preserve">Data </w:t>
      </w:r>
      <w:r w:rsidRPr="007B09C3">
        <w:rPr>
          <w:b/>
          <w:bCs/>
          <w:sz w:val="44"/>
          <w:szCs w:val="44"/>
        </w:rPr>
        <w:t xml:space="preserve">Entry </w:t>
      </w:r>
      <w:r w:rsidR="00225627" w:rsidRPr="007B09C3">
        <w:rPr>
          <w:b/>
          <w:bCs/>
          <w:sz w:val="44"/>
          <w:szCs w:val="44"/>
        </w:rPr>
        <w:t xml:space="preserve">Service Standards </w:t>
      </w:r>
    </w:p>
    <w:p w14:paraId="41676DFD" w14:textId="4B0D20A5" w:rsidR="00225627" w:rsidRDefault="00AC5128" w:rsidP="00225627">
      <w:pPr>
        <w:jc w:val="center"/>
        <w:rPr>
          <w:bCs/>
          <w:sz w:val="36"/>
          <w:szCs w:val="36"/>
        </w:rPr>
      </w:pPr>
      <w:r>
        <w:rPr>
          <w:bCs/>
          <w:sz w:val="36"/>
          <w:szCs w:val="36"/>
        </w:rPr>
        <w:t>March</w:t>
      </w:r>
      <w:r w:rsidR="00225627" w:rsidRPr="007B09C3">
        <w:rPr>
          <w:bCs/>
          <w:sz w:val="36"/>
          <w:szCs w:val="36"/>
        </w:rPr>
        <w:t xml:space="preserve"> 2017</w:t>
      </w:r>
      <w:r w:rsidR="00060DD5">
        <w:rPr>
          <w:bCs/>
          <w:sz w:val="36"/>
          <w:szCs w:val="36"/>
        </w:rPr>
        <w:t>, updated July 2018</w:t>
      </w:r>
    </w:p>
    <w:p w14:paraId="1567DDB6" w14:textId="77777777" w:rsidR="004E38A6" w:rsidRDefault="004E38A6" w:rsidP="00225627">
      <w:pPr>
        <w:jc w:val="center"/>
        <w:rPr>
          <w:bCs/>
          <w:sz w:val="36"/>
          <w:szCs w:val="36"/>
        </w:rPr>
      </w:pPr>
    </w:p>
    <w:p w14:paraId="4CB14225" w14:textId="77777777" w:rsidR="004E38A6" w:rsidRPr="007B09C3" w:rsidRDefault="004E38A6" w:rsidP="00225627">
      <w:pPr>
        <w:jc w:val="center"/>
        <w:rPr>
          <w:b/>
          <w:bCs/>
          <w:sz w:val="36"/>
          <w:szCs w:val="36"/>
        </w:rPr>
      </w:pPr>
    </w:p>
    <w:p w14:paraId="4128675A" w14:textId="77777777" w:rsidR="004E38A6" w:rsidRDefault="004E38A6">
      <w:pPr>
        <w:rPr>
          <w:b/>
          <w:bCs/>
          <w:sz w:val="28"/>
          <w:szCs w:val="28"/>
        </w:rPr>
        <w:sectPr w:rsidR="004E38A6" w:rsidSect="00EB5EAC">
          <w:footerReference w:type="even" r:id="rId8"/>
          <w:footerReference w:type="default" r:id="rId9"/>
          <w:pgSz w:w="20160" w:h="12240" w:orient="landscape" w:code="5"/>
          <w:pgMar w:top="851" w:right="794" w:bottom="851" w:left="737" w:header="709" w:footer="709" w:gutter="0"/>
          <w:pgBorders w:display="firstPage">
            <w:top w:val="thickThinSmallGap" w:sz="24" w:space="1" w:color="auto"/>
            <w:left w:val="thickThinSmallGap" w:sz="24" w:space="4" w:color="auto"/>
            <w:bottom w:val="thinThickSmallGap" w:sz="24" w:space="1" w:color="auto"/>
            <w:right w:val="thinThickSmallGap" w:sz="24" w:space="4" w:color="auto"/>
          </w:pgBorders>
          <w:cols w:space="708"/>
          <w:titlePg/>
          <w:docGrid w:linePitch="360"/>
        </w:sectPr>
      </w:pPr>
    </w:p>
    <w:p w14:paraId="6EFD1D2F" w14:textId="77777777" w:rsidR="00213AE1" w:rsidRDefault="00213AE1" w:rsidP="00213AE1">
      <w:pPr>
        <w:spacing w:after="0" w:line="240" w:lineRule="auto"/>
        <w:jc w:val="center"/>
        <w:rPr>
          <w:b/>
          <w:bCs/>
          <w:sz w:val="28"/>
          <w:szCs w:val="28"/>
        </w:rPr>
      </w:pPr>
    </w:p>
    <w:p w14:paraId="7F557B19" w14:textId="77777777" w:rsidR="00213AE1" w:rsidRDefault="00213AE1" w:rsidP="00213AE1">
      <w:pPr>
        <w:spacing w:after="0" w:line="240" w:lineRule="auto"/>
        <w:jc w:val="center"/>
        <w:rPr>
          <w:b/>
          <w:bCs/>
          <w:sz w:val="28"/>
          <w:szCs w:val="28"/>
        </w:rPr>
      </w:pPr>
    </w:p>
    <w:p w14:paraId="73AFF221" w14:textId="77777777" w:rsidR="00604757" w:rsidRDefault="00604757" w:rsidP="00213AE1">
      <w:pPr>
        <w:spacing w:after="0" w:line="240" w:lineRule="auto"/>
        <w:jc w:val="center"/>
        <w:rPr>
          <w:b/>
          <w:bCs/>
          <w:sz w:val="34"/>
          <w:szCs w:val="34"/>
        </w:rPr>
      </w:pPr>
    </w:p>
    <w:p w14:paraId="63875F64" w14:textId="3970D4D3" w:rsidR="00517B28" w:rsidRPr="00213AE1" w:rsidRDefault="00517B28" w:rsidP="00213AE1">
      <w:pPr>
        <w:spacing w:after="0" w:line="240" w:lineRule="auto"/>
        <w:jc w:val="center"/>
        <w:rPr>
          <w:b/>
          <w:bCs/>
          <w:sz w:val="32"/>
          <w:szCs w:val="32"/>
        </w:rPr>
      </w:pPr>
      <w:r w:rsidRPr="00604757">
        <w:rPr>
          <w:b/>
          <w:bCs/>
          <w:sz w:val="34"/>
          <w:szCs w:val="34"/>
        </w:rPr>
        <w:t>Introduction</w:t>
      </w:r>
    </w:p>
    <w:p w14:paraId="076CD8DC" w14:textId="77777777" w:rsidR="00517B28" w:rsidRDefault="00517B28">
      <w:pPr>
        <w:spacing w:after="0" w:line="240" w:lineRule="auto"/>
        <w:rPr>
          <w:b/>
          <w:bCs/>
          <w:sz w:val="28"/>
          <w:szCs w:val="28"/>
        </w:rPr>
      </w:pPr>
    </w:p>
    <w:p w14:paraId="75C82079" w14:textId="77777777" w:rsidR="00517B28" w:rsidRDefault="00517B28">
      <w:pPr>
        <w:spacing w:after="0" w:line="240" w:lineRule="auto"/>
        <w:rPr>
          <w:b/>
          <w:bCs/>
          <w:sz w:val="28"/>
          <w:szCs w:val="28"/>
        </w:rPr>
      </w:pPr>
    </w:p>
    <w:p w14:paraId="1992B6C6" w14:textId="69859201" w:rsidR="00517B28" w:rsidRPr="00604757" w:rsidRDefault="00517B28" w:rsidP="00604757">
      <w:pPr>
        <w:spacing w:after="0" w:line="240" w:lineRule="auto"/>
        <w:ind w:left="2127" w:right="2186"/>
        <w:rPr>
          <w:bCs/>
          <w:sz w:val="26"/>
          <w:szCs w:val="26"/>
        </w:rPr>
      </w:pPr>
      <w:r w:rsidRPr="00604757">
        <w:rPr>
          <w:bCs/>
          <w:sz w:val="26"/>
          <w:szCs w:val="26"/>
        </w:rPr>
        <w:t xml:space="preserve">All LBS service providers use the EOIS-CaMS </w:t>
      </w:r>
      <w:r w:rsidR="00014CCB" w:rsidRPr="00604757">
        <w:rPr>
          <w:bCs/>
          <w:sz w:val="26"/>
          <w:szCs w:val="26"/>
        </w:rPr>
        <w:t>data management system.  However, they have found that many data entry items are not clearly defined</w:t>
      </w:r>
      <w:r w:rsidR="00213AE1" w:rsidRPr="00604757">
        <w:rPr>
          <w:bCs/>
          <w:sz w:val="26"/>
          <w:szCs w:val="26"/>
        </w:rPr>
        <w:t xml:space="preserve"> in the data dictionary or CaMS reports guides</w:t>
      </w:r>
      <w:r w:rsidR="00014CCB" w:rsidRPr="00604757">
        <w:rPr>
          <w:bCs/>
          <w:sz w:val="26"/>
          <w:szCs w:val="26"/>
        </w:rPr>
        <w:t xml:space="preserve"> and are open to interpretation.  Therefore, not all service providers were recording certain data in the same ways.  This can skew data and make it diffi</w:t>
      </w:r>
      <w:r w:rsidR="00213AE1" w:rsidRPr="00604757">
        <w:rPr>
          <w:bCs/>
          <w:sz w:val="26"/>
          <w:szCs w:val="26"/>
        </w:rPr>
        <w:t>cult to see accurate results to use in</w:t>
      </w:r>
      <w:r w:rsidR="00014CCB" w:rsidRPr="00604757">
        <w:rPr>
          <w:bCs/>
          <w:sz w:val="26"/>
          <w:szCs w:val="26"/>
        </w:rPr>
        <w:t xml:space="preserve"> literacy service planning and co-ordination.</w:t>
      </w:r>
    </w:p>
    <w:p w14:paraId="57F185CA" w14:textId="77777777" w:rsidR="00014CCB" w:rsidRPr="00604757" w:rsidRDefault="00014CCB" w:rsidP="00604757">
      <w:pPr>
        <w:spacing w:after="0" w:line="240" w:lineRule="auto"/>
        <w:ind w:left="2127" w:right="2186"/>
        <w:rPr>
          <w:bCs/>
          <w:sz w:val="26"/>
          <w:szCs w:val="26"/>
        </w:rPr>
      </w:pPr>
    </w:p>
    <w:p w14:paraId="79C9CE3E" w14:textId="1004FFD0" w:rsidR="00014CCB" w:rsidRPr="00604757" w:rsidRDefault="00014CCB" w:rsidP="00604757">
      <w:pPr>
        <w:spacing w:after="0" w:line="240" w:lineRule="auto"/>
        <w:ind w:left="2127" w:right="2186"/>
        <w:rPr>
          <w:bCs/>
          <w:sz w:val="26"/>
          <w:szCs w:val="26"/>
        </w:rPr>
      </w:pPr>
      <w:r w:rsidRPr="00604757">
        <w:rPr>
          <w:bCs/>
          <w:sz w:val="26"/>
          <w:szCs w:val="26"/>
        </w:rPr>
        <w:t>In order to help improve data integrity, at least in the Simcoe-Muskoka area, service providers discussed specific items of concern to develop agreements on how to enter these data into CaMS.  This document is a record of those discussions and agreements, or data entry service standards.  It also records when a why an agreement could not be reached.</w:t>
      </w:r>
    </w:p>
    <w:p w14:paraId="2AD6893C" w14:textId="77777777" w:rsidR="00014CCB" w:rsidRPr="00604757" w:rsidRDefault="00014CCB" w:rsidP="00604757">
      <w:pPr>
        <w:spacing w:after="0" w:line="240" w:lineRule="auto"/>
        <w:ind w:left="2127" w:right="2186"/>
        <w:rPr>
          <w:bCs/>
          <w:sz w:val="26"/>
          <w:szCs w:val="26"/>
        </w:rPr>
      </w:pPr>
    </w:p>
    <w:p w14:paraId="04561990" w14:textId="02CED17A" w:rsidR="00213AE1" w:rsidRPr="00604757" w:rsidRDefault="00213AE1" w:rsidP="00604757">
      <w:pPr>
        <w:spacing w:after="0" w:line="240" w:lineRule="auto"/>
        <w:ind w:left="2127" w:right="2186"/>
        <w:rPr>
          <w:bCs/>
          <w:sz w:val="26"/>
          <w:szCs w:val="26"/>
        </w:rPr>
      </w:pPr>
      <w:r w:rsidRPr="00604757">
        <w:rPr>
          <w:bCs/>
          <w:sz w:val="26"/>
          <w:szCs w:val="26"/>
        </w:rPr>
        <w:t>The first 7 items are listed in order as they appear on the participant registration form</w:t>
      </w:r>
      <w:r w:rsidR="00903279" w:rsidRPr="00604757">
        <w:rPr>
          <w:bCs/>
          <w:sz w:val="26"/>
          <w:szCs w:val="26"/>
        </w:rPr>
        <w:t xml:space="preserve"> (PRF)</w:t>
      </w:r>
      <w:r w:rsidRPr="00604757">
        <w:rPr>
          <w:bCs/>
          <w:sz w:val="26"/>
          <w:szCs w:val="26"/>
        </w:rPr>
        <w:t>.</w:t>
      </w:r>
    </w:p>
    <w:p w14:paraId="4F75805E" w14:textId="36D2C934" w:rsidR="00213AE1" w:rsidRDefault="00213AE1" w:rsidP="00604757">
      <w:pPr>
        <w:spacing w:after="0" w:line="240" w:lineRule="auto"/>
        <w:ind w:left="2127" w:right="2186"/>
        <w:rPr>
          <w:bCs/>
          <w:sz w:val="26"/>
          <w:szCs w:val="26"/>
        </w:rPr>
      </w:pPr>
      <w:r w:rsidRPr="00604757">
        <w:rPr>
          <w:bCs/>
          <w:sz w:val="26"/>
          <w:szCs w:val="26"/>
        </w:rPr>
        <w:t xml:space="preserve">The </w:t>
      </w:r>
      <w:r w:rsidR="00983FFD">
        <w:rPr>
          <w:bCs/>
          <w:sz w:val="26"/>
          <w:szCs w:val="26"/>
        </w:rPr>
        <w:t>next</w:t>
      </w:r>
      <w:r w:rsidRPr="00604757">
        <w:rPr>
          <w:bCs/>
          <w:sz w:val="26"/>
          <w:szCs w:val="26"/>
        </w:rPr>
        <w:t xml:space="preserve"> </w:t>
      </w:r>
      <w:r w:rsidR="00083779">
        <w:rPr>
          <w:bCs/>
          <w:sz w:val="26"/>
          <w:szCs w:val="26"/>
        </w:rPr>
        <w:t>8</w:t>
      </w:r>
      <w:r w:rsidR="00983FFD">
        <w:rPr>
          <w:bCs/>
          <w:sz w:val="26"/>
          <w:szCs w:val="26"/>
        </w:rPr>
        <w:t xml:space="preserve"> </w:t>
      </w:r>
      <w:r w:rsidRPr="00604757">
        <w:rPr>
          <w:bCs/>
          <w:sz w:val="26"/>
          <w:szCs w:val="26"/>
        </w:rPr>
        <w:t xml:space="preserve">items are listed in the </w:t>
      </w:r>
      <w:r w:rsidR="00903279" w:rsidRPr="00604757">
        <w:rPr>
          <w:bCs/>
          <w:sz w:val="26"/>
          <w:szCs w:val="26"/>
        </w:rPr>
        <w:t>order they appear on Reports 60B(Learner Profile)</w:t>
      </w:r>
      <w:r w:rsidRPr="00604757">
        <w:rPr>
          <w:bCs/>
          <w:sz w:val="26"/>
          <w:szCs w:val="26"/>
        </w:rPr>
        <w:t xml:space="preserve"> and 60D</w:t>
      </w:r>
      <w:r w:rsidR="00903279" w:rsidRPr="00604757">
        <w:rPr>
          <w:bCs/>
          <w:sz w:val="26"/>
          <w:szCs w:val="26"/>
        </w:rPr>
        <w:t>(Learner Outcomes)</w:t>
      </w:r>
      <w:r w:rsidRPr="00604757">
        <w:rPr>
          <w:bCs/>
          <w:sz w:val="26"/>
          <w:szCs w:val="26"/>
        </w:rPr>
        <w:t>.</w:t>
      </w:r>
    </w:p>
    <w:p w14:paraId="12362F75" w14:textId="43C74457" w:rsidR="00983FFD" w:rsidRPr="00604757" w:rsidRDefault="00983FFD" w:rsidP="00604757">
      <w:pPr>
        <w:spacing w:after="0" w:line="240" w:lineRule="auto"/>
        <w:ind w:left="2127" w:right="2186"/>
        <w:rPr>
          <w:bCs/>
          <w:sz w:val="26"/>
          <w:szCs w:val="26"/>
        </w:rPr>
      </w:pPr>
      <w:r>
        <w:rPr>
          <w:bCs/>
          <w:sz w:val="26"/>
          <w:szCs w:val="26"/>
        </w:rPr>
        <w:t>The rest are listed in no particular order.</w:t>
      </w:r>
    </w:p>
    <w:p w14:paraId="4F5777E1" w14:textId="77777777" w:rsidR="00213AE1" w:rsidRPr="00604757" w:rsidRDefault="00213AE1" w:rsidP="00604757">
      <w:pPr>
        <w:spacing w:after="0" w:line="240" w:lineRule="auto"/>
        <w:ind w:left="2127" w:right="2186"/>
        <w:rPr>
          <w:bCs/>
          <w:sz w:val="26"/>
          <w:szCs w:val="26"/>
        </w:rPr>
      </w:pPr>
    </w:p>
    <w:p w14:paraId="035B7EE5" w14:textId="04E317A8" w:rsidR="00014CCB" w:rsidRPr="00604757" w:rsidRDefault="00014CCB" w:rsidP="00604757">
      <w:pPr>
        <w:spacing w:after="0" w:line="240" w:lineRule="auto"/>
        <w:ind w:left="2127" w:right="2186"/>
        <w:rPr>
          <w:b/>
          <w:bCs/>
          <w:sz w:val="26"/>
          <w:szCs w:val="26"/>
        </w:rPr>
      </w:pPr>
      <w:r w:rsidRPr="00604757">
        <w:rPr>
          <w:b/>
          <w:bCs/>
          <w:sz w:val="26"/>
          <w:szCs w:val="26"/>
        </w:rPr>
        <w:t xml:space="preserve">Please use these data entry standards when entering data for your learners.  It will help greatly to ensure the data from our agencies is </w:t>
      </w:r>
      <w:r w:rsidR="00213AE1" w:rsidRPr="00604757">
        <w:rPr>
          <w:b/>
          <w:bCs/>
          <w:sz w:val="26"/>
          <w:szCs w:val="26"/>
        </w:rPr>
        <w:t>reliable.</w:t>
      </w:r>
      <w:r w:rsidRPr="00604757">
        <w:rPr>
          <w:b/>
          <w:bCs/>
          <w:sz w:val="26"/>
          <w:szCs w:val="26"/>
        </w:rPr>
        <w:t xml:space="preserve"> </w:t>
      </w:r>
    </w:p>
    <w:p w14:paraId="34931E6F" w14:textId="77777777" w:rsidR="00014CCB" w:rsidRPr="00604757" w:rsidRDefault="00014CCB" w:rsidP="00604757">
      <w:pPr>
        <w:spacing w:after="0" w:line="240" w:lineRule="auto"/>
        <w:ind w:left="2127" w:right="2186"/>
        <w:rPr>
          <w:bCs/>
          <w:sz w:val="26"/>
          <w:szCs w:val="26"/>
        </w:rPr>
      </w:pPr>
    </w:p>
    <w:p w14:paraId="681FBE3A" w14:textId="698759E7" w:rsidR="00014CCB" w:rsidRPr="00604757" w:rsidRDefault="00213AE1" w:rsidP="00604757">
      <w:pPr>
        <w:spacing w:after="0" w:line="240" w:lineRule="auto"/>
        <w:ind w:left="2127" w:right="2186"/>
        <w:rPr>
          <w:bCs/>
          <w:sz w:val="26"/>
          <w:szCs w:val="26"/>
        </w:rPr>
      </w:pPr>
      <w:r w:rsidRPr="00604757">
        <w:rPr>
          <w:bCs/>
          <w:sz w:val="26"/>
          <w:szCs w:val="26"/>
        </w:rPr>
        <w:t>If service providers identify other items that need clarification, we will add them to this set of standards.</w:t>
      </w:r>
    </w:p>
    <w:p w14:paraId="002D6BA5" w14:textId="1D1CA546" w:rsidR="00213AE1" w:rsidRPr="00604757" w:rsidRDefault="00213AE1" w:rsidP="00604757">
      <w:pPr>
        <w:spacing w:after="0" w:line="240" w:lineRule="auto"/>
        <w:ind w:left="2127" w:right="2186"/>
        <w:rPr>
          <w:bCs/>
          <w:sz w:val="26"/>
          <w:szCs w:val="26"/>
        </w:rPr>
      </w:pPr>
      <w:r w:rsidRPr="00604757">
        <w:rPr>
          <w:bCs/>
          <w:sz w:val="26"/>
          <w:szCs w:val="26"/>
        </w:rPr>
        <w:t>Over time, we will also review these standards to make sure they still make sense.</w:t>
      </w:r>
    </w:p>
    <w:p w14:paraId="0D6064FF" w14:textId="77777777" w:rsidR="00213AE1" w:rsidRDefault="00213AE1" w:rsidP="00213AE1">
      <w:pPr>
        <w:spacing w:after="0" w:line="240" w:lineRule="auto"/>
        <w:ind w:left="1560" w:right="1477"/>
        <w:rPr>
          <w:bCs/>
          <w:sz w:val="28"/>
          <w:szCs w:val="28"/>
        </w:rPr>
      </w:pPr>
    </w:p>
    <w:p w14:paraId="460F484D" w14:textId="77777777" w:rsidR="00213AE1" w:rsidRDefault="00213AE1" w:rsidP="00213AE1">
      <w:pPr>
        <w:spacing w:after="0" w:line="240" w:lineRule="auto"/>
        <w:ind w:left="1560" w:right="1477"/>
        <w:rPr>
          <w:bCs/>
          <w:sz w:val="28"/>
          <w:szCs w:val="28"/>
        </w:rPr>
      </w:pPr>
    </w:p>
    <w:p w14:paraId="53559E9E" w14:textId="77777777" w:rsidR="00213AE1" w:rsidRDefault="00213AE1" w:rsidP="00213AE1">
      <w:pPr>
        <w:spacing w:after="0" w:line="240" w:lineRule="auto"/>
        <w:ind w:left="1560" w:right="1477"/>
        <w:rPr>
          <w:bCs/>
          <w:sz w:val="28"/>
          <w:szCs w:val="28"/>
        </w:rPr>
      </w:pPr>
    </w:p>
    <w:p w14:paraId="16B2FBC7" w14:textId="77777777" w:rsidR="00213AE1" w:rsidRDefault="00213AE1" w:rsidP="00213AE1">
      <w:pPr>
        <w:spacing w:after="0" w:line="240" w:lineRule="auto"/>
        <w:ind w:left="1560" w:right="1477"/>
        <w:rPr>
          <w:bCs/>
          <w:sz w:val="28"/>
          <w:szCs w:val="28"/>
        </w:rPr>
      </w:pPr>
    </w:p>
    <w:p w14:paraId="6B71B5BE" w14:textId="77777777" w:rsidR="00213AE1" w:rsidRDefault="00213AE1" w:rsidP="00213AE1">
      <w:pPr>
        <w:spacing w:after="0" w:line="240" w:lineRule="auto"/>
        <w:ind w:left="1560" w:right="1477"/>
        <w:rPr>
          <w:bCs/>
          <w:sz w:val="28"/>
          <w:szCs w:val="28"/>
        </w:rPr>
      </w:pPr>
    </w:p>
    <w:p w14:paraId="272B0BCF" w14:textId="38A16736" w:rsidR="00517B28" w:rsidRDefault="00517B28">
      <w:pPr>
        <w:spacing w:after="0" w:line="240" w:lineRule="auto"/>
        <w:rPr>
          <w:b/>
          <w:bCs/>
          <w:sz w:val="28"/>
          <w:szCs w:val="28"/>
        </w:rPr>
      </w:pPr>
      <w:r>
        <w:rPr>
          <w:b/>
          <w:bCs/>
          <w:sz w:val="28"/>
          <w:szCs w:val="28"/>
        </w:rPr>
        <w:br w:type="page"/>
      </w:r>
    </w:p>
    <w:p w14:paraId="2301642D" w14:textId="77777777" w:rsidR="00517B28" w:rsidRDefault="00517B28">
      <w:pPr>
        <w:spacing w:after="0" w:line="240" w:lineRule="auto"/>
        <w:rPr>
          <w:b/>
          <w:bCs/>
          <w:sz w:val="28"/>
          <w:szCs w:val="28"/>
        </w:rPr>
      </w:pPr>
    </w:p>
    <w:p w14:paraId="37F34FF0" w14:textId="6F712AE4" w:rsidR="005E4682" w:rsidRPr="00382680" w:rsidRDefault="005E4682" w:rsidP="00A84EFB">
      <w:pPr>
        <w:jc w:val="center"/>
        <w:rPr>
          <w:b/>
          <w:bCs/>
          <w:sz w:val="28"/>
          <w:szCs w:val="28"/>
        </w:rPr>
      </w:pPr>
      <w:r>
        <w:rPr>
          <w:b/>
          <w:bCs/>
          <w:sz w:val="28"/>
          <w:szCs w:val="28"/>
        </w:rPr>
        <w:t xml:space="preserve">SMLN LSPC </w:t>
      </w:r>
      <w:r w:rsidRPr="00382680">
        <w:rPr>
          <w:b/>
          <w:bCs/>
          <w:sz w:val="28"/>
          <w:szCs w:val="28"/>
        </w:rPr>
        <w:t xml:space="preserve">Data </w:t>
      </w:r>
      <w:r>
        <w:rPr>
          <w:b/>
          <w:bCs/>
          <w:sz w:val="28"/>
          <w:szCs w:val="28"/>
        </w:rPr>
        <w:t xml:space="preserve">Service Standards </w:t>
      </w:r>
      <w:r w:rsidRPr="00382680">
        <w:rPr>
          <w:b/>
          <w:bCs/>
          <w:sz w:val="28"/>
          <w:szCs w:val="28"/>
        </w:rPr>
        <w:t>Notes</w:t>
      </w:r>
      <w:r>
        <w:rPr>
          <w:b/>
          <w:bCs/>
          <w:sz w:val="28"/>
          <w:szCs w:val="28"/>
        </w:rPr>
        <w:t xml:space="preserve"> </w:t>
      </w:r>
      <w:r w:rsidR="00F04FB6">
        <w:rPr>
          <w:b/>
          <w:bCs/>
          <w:sz w:val="28"/>
          <w:szCs w:val="28"/>
        </w:rPr>
        <w:t xml:space="preserve">  </w:t>
      </w:r>
      <w:r w:rsidR="0087482B">
        <w:rPr>
          <w:b/>
          <w:bCs/>
          <w:sz w:val="28"/>
          <w:szCs w:val="28"/>
        </w:rPr>
        <w:t>(</w:t>
      </w:r>
      <w:r w:rsidR="00F04FB6" w:rsidRPr="0087482B">
        <w:rPr>
          <w:bCs/>
          <w:sz w:val="28"/>
          <w:szCs w:val="28"/>
        </w:rPr>
        <w:t>updated February 2017</w:t>
      </w:r>
      <w:r w:rsidR="0087482B">
        <w:rPr>
          <w:b/>
          <w:bCs/>
          <w:sz w:val="28"/>
          <w:szCs w:val="28"/>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8"/>
        <w:gridCol w:w="2598"/>
        <w:gridCol w:w="2379"/>
        <w:gridCol w:w="3219"/>
        <w:gridCol w:w="3222"/>
        <w:gridCol w:w="2620"/>
        <w:gridCol w:w="2091"/>
      </w:tblGrid>
      <w:tr w:rsidR="00E203F3" w:rsidRPr="005155D8" w14:paraId="653D69D9" w14:textId="77777777" w:rsidTr="001A56AA">
        <w:trPr>
          <w:trHeight w:val="1381"/>
          <w:tblHeader/>
          <w:jc w:val="center"/>
        </w:trPr>
        <w:tc>
          <w:tcPr>
            <w:tcW w:w="580" w:type="pct"/>
            <w:shd w:val="clear" w:color="auto" w:fill="EAF1DD"/>
          </w:tcPr>
          <w:p w14:paraId="0C4E798A" w14:textId="77777777" w:rsidR="005E4682" w:rsidRDefault="0009365C" w:rsidP="005155D8">
            <w:pPr>
              <w:spacing w:after="0" w:line="288" w:lineRule="auto"/>
              <w:rPr>
                <w:b/>
                <w:bCs/>
                <w:sz w:val="24"/>
                <w:szCs w:val="24"/>
              </w:rPr>
            </w:pPr>
            <w:r>
              <w:rPr>
                <w:b/>
                <w:bCs/>
                <w:sz w:val="24"/>
                <w:szCs w:val="24"/>
              </w:rPr>
              <w:t xml:space="preserve">Data </w:t>
            </w:r>
            <w:r w:rsidR="00390B17">
              <w:rPr>
                <w:b/>
                <w:bCs/>
                <w:sz w:val="24"/>
                <w:szCs w:val="24"/>
              </w:rPr>
              <w:t>Item</w:t>
            </w:r>
          </w:p>
          <w:p w14:paraId="39996452" w14:textId="77777777" w:rsidR="00C969A1" w:rsidRPr="00C969A1" w:rsidRDefault="00C969A1" w:rsidP="005155D8">
            <w:pPr>
              <w:spacing w:after="0" w:line="288" w:lineRule="auto"/>
              <w:rPr>
                <w:bCs/>
                <w:sz w:val="24"/>
                <w:szCs w:val="24"/>
              </w:rPr>
            </w:pPr>
          </w:p>
        </w:tc>
        <w:tc>
          <w:tcPr>
            <w:tcW w:w="712" w:type="pct"/>
            <w:shd w:val="clear" w:color="auto" w:fill="EAF1DD"/>
          </w:tcPr>
          <w:p w14:paraId="4CAA78AD" w14:textId="77777777" w:rsidR="005E4682" w:rsidRPr="005155D8" w:rsidRDefault="005E4682" w:rsidP="005155D8">
            <w:pPr>
              <w:spacing w:after="0" w:line="288" w:lineRule="auto"/>
              <w:rPr>
                <w:b/>
                <w:bCs/>
                <w:sz w:val="24"/>
                <w:szCs w:val="24"/>
              </w:rPr>
            </w:pPr>
            <w:r w:rsidRPr="005155D8">
              <w:rPr>
                <w:b/>
                <w:bCs/>
                <w:sz w:val="24"/>
                <w:szCs w:val="24"/>
              </w:rPr>
              <w:t>Background</w:t>
            </w:r>
          </w:p>
        </w:tc>
        <w:tc>
          <w:tcPr>
            <w:tcW w:w="652" w:type="pct"/>
            <w:shd w:val="clear" w:color="auto" w:fill="EAF1DD"/>
          </w:tcPr>
          <w:p w14:paraId="42E46B5A" w14:textId="77777777" w:rsidR="005E4682" w:rsidRPr="005155D8" w:rsidRDefault="005E4682" w:rsidP="005155D8">
            <w:pPr>
              <w:spacing w:after="0" w:line="288" w:lineRule="auto"/>
              <w:rPr>
                <w:b/>
                <w:bCs/>
                <w:sz w:val="24"/>
                <w:szCs w:val="24"/>
              </w:rPr>
            </w:pPr>
            <w:r w:rsidRPr="005155D8">
              <w:rPr>
                <w:b/>
                <w:bCs/>
                <w:sz w:val="24"/>
                <w:szCs w:val="24"/>
              </w:rPr>
              <w:t>Current Practice</w:t>
            </w:r>
          </w:p>
        </w:tc>
        <w:tc>
          <w:tcPr>
            <w:tcW w:w="882" w:type="pct"/>
            <w:shd w:val="clear" w:color="auto" w:fill="EAF1DD"/>
          </w:tcPr>
          <w:p w14:paraId="4FF721C1" w14:textId="77777777" w:rsidR="005E4682" w:rsidRPr="005155D8" w:rsidRDefault="005E4682" w:rsidP="005155D8">
            <w:pPr>
              <w:spacing w:after="0" w:line="288" w:lineRule="auto"/>
              <w:rPr>
                <w:b/>
                <w:bCs/>
                <w:sz w:val="24"/>
                <w:szCs w:val="24"/>
              </w:rPr>
            </w:pPr>
            <w:r w:rsidRPr="005155D8">
              <w:rPr>
                <w:b/>
                <w:bCs/>
                <w:sz w:val="24"/>
                <w:szCs w:val="24"/>
              </w:rPr>
              <w:t>Relevant Documents</w:t>
            </w:r>
            <w:r>
              <w:rPr>
                <w:b/>
                <w:bCs/>
                <w:sz w:val="24"/>
                <w:szCs w:val="24"/>
              </w:rPr>
              <w:t>, etc.</w:t>
            </w:r>
          </w:p>
        </w:tc>
        <w:tc>
          <w:tcPr>
            <w:tcW w:w="883" w:type="pct"/>
            <w:shd w:val="clear" w:color="auto" w:fill="EAF1DD"/>
          </w:tcPr>
          <w:p w14:paraId="56D6BC95" w14:textId="77777777" w:rsidR="005E4682" w:rsidRPr="005155D8" w:rsidRDefault="005E4682" w:rsidP="005155D8">
            <w:pPr>
              <w:spacing w:after="0" w:line="288" w:lineRule="auto"/>
              <w:rPr>
                <w:b/>
                <w:bCs/>
                <w:sz w:val="24"/>
                <w:szCs w:val="24"/>
              </w:rPr>
            </w:pPr>
            <w:r>
              <w:rPr>
                <w:b/>
                <w:bCs/>
                <w:sz w:val="24"/>
                <w:szCs w:val="24"/>
              </w:rPr>
              <w:t xml:space="preserve">LBS </w:t>
            </w:r>
            <w:r w:rsidRPr="005155D8">
              <w:rPr>
                <w:b/>
                <w:bCs/>
                <w:sz w:val="24"/>
                <w:szCs w:val="24"/>
              </w:rPr>
              <w:t xml:space="preserve">Service Provider agreement </w:t>
            </w:r>
          </w:p>
          <w:p w14:paraId="070D874F" w14:textId="77777777" w:rsidR="005E4682" w:rsidRDefault="005E4682" w:rsidP="005155D8">
            <w:pPr>
              <w:spacing w:after="0" w:line="288" w:lineRule="auto"/>
              <w:rPr>
                <w:b/>
                <w:bCs/>
                <w:sz w:val="24"/>
                <w:szCs w:val="24"/>
              </w:rPr>
            </w:pPr>
          </w:p>
          <w:p w14:paraId="2D0C99BF" w14:textId="77777777" w:rsidR="005E4682" w:rsidRPr="005155D8" w:rsidRDefault="005E4682" w:rsidP="005155D8">
            <w:pPr>
              <w:spacing w:after="0" w:line="288" w:lineRule="auto"/>
              <w:rPr>
                <w:b/>
                <w:bCs/>
                <w:sz w:val="24"/>
                <w:szCs w:val="24"/>
              </w:rPr>
            </w:pPr>
            <w:r w:rsidRPr="005155D8">
              <w:rPr>
                <w:b/>
                <w:bCs/>
                <w:sz w:val="24"/>
                <w:szCs w:val="24"/>
              </w:rPr>
              <w:t>Do ES providers use this?</w:t>
            </w:r>
          </w:p>
        </w:tc>
        <w:tc>
          <w:tcPr>
            <w:tcW w:w="718" w:type="pct"/>
            <w:shd w:val="clear" w:color="auto" w:fill="EAF1DD"/>
          </w:tcPr>
          <w:p w14:paraId="57730921" w14:textId="77777777" w:rsidR="005E4682" w:rsidRPr="005155D8" w:rsidRDefault="005E4682" w:rsidP="005155D8">
            <w:pPr>
              <w:spacing w:after="0" w:line="288" w:lineRule="auto"/>
              <w:rPr>
                <w:b/>
                <w:bCs/>
                <w:sz w:val="24"/>
                <w:szCs w:val="24"/>
              </w:rPr>
            </w:pPr>
            <w:r w:rsidRPr="005155D8">
              <w:rPr>
                <w:b/>
                <w:bCs/>
                <w:sz w:val="24"/>
                <w:szCs w:val="24"/>
              </w:rPr>
              <w:t>What made sense to do this?</w:t>
            </w:r>
          </w:p>
        </w:tc>
        <w:tc>
          <w:tcPr>
            <w:tcW w:w="573" w:type="pct"/>
            <w:shd w:val="clear" w:color="auto" w:fill="EAF1DD"/>
          </w:tcPr>
          <w:p w14:paraId="73322189" w14:textId="77777777" w:rsidR="005E4682" w:rsidRPr="005155D8" w:rsidRDefault="005E4682" w:rsidP="005155D8">
            <w:pPr>
              <w:spacing w:after="0" w:line="288" w:lineRule="auto"/>
              <w:rPr>
                <w:b/>
                <w:bCs/>
                <w:sz w:val="24"/>
                <w:szCs w:val="24"/>
              </w:rPr>
            </w:pPr>
            <w:r w:rsidRPr="005155D8">
              <w:rPr>
                <w:b/>
                <w:bCs/>
                <w:sz w:val="24"/>
                <w:szCs w:val="24"/>
              </w:rPr>
              <w:t>Reasons as to why we didn’t come to an agreement</w:t>
            </w:r>
          </w:p>
        </w:tc>
      </w:tr>
      <w:tr w:rsidR="00E203F3" w:rsidRPr="005155D8" w14:paraId="7755DF9E" w14:textId="77777777" w:rsidTr="001A56AA">
        <w:trPr>
          <w:trHeight w:val="1414"/>
          <w:jc w:val="center"/>
        </w:trPr>
        <w:tc>
          <w:tcPr>
            <w:tcW w:w="580" w:type="pct"/>
          </w:tcPr>
          <w:p w14:paraId="00128506" w14:textId="77777777" w:rsidR="0051479C" w:rsidRPr="003314CA" w:rsidRDefault="0051479C" w:rsidP="00D5423D">
            <w:pPr>
              <w:spacing w:after="0" w:line="288" w:lineRule="auto"/>
              <w:rPr>
                <w:b/>
                <w:sz w:val="24"/>
                <w:szCs w:val="24"/>
              </w:rPr>
            </w:pPr>
            <w:r w:rsidRPr="003314CA">
              <w:rPr>
                <w:b/>
                <w:sz w:val="24"/>
                <w:szCs w:val="24"/>
              </w:rPr>
              <w:t>Person with disability</w:t>
            </w:r>
          </w:p>
        </w:tc>
        <w:tc>
          <w:tcPr>
            <w:tcW w:w="712" w:type="pct"/>
          </w:tcPr>
          <w:p w14:paraId="6185ECD4" w14:textId="77777777" w:rsidR="0051479C" w:rsidRPr="005155D8" w:rsidRDefault="0051479C" w:rsidP="00D5423D">
            <w:pPr>
              <w:spacing w:after="0" w:line="288" w:lineRule="auto"/>
              <w:rPr>
                <w:sz w:val="22"/>
                <w:szCs w:val="22"/>
              </w:rPr>
            </w:pPr>
            <w:r w:rsidRPr="005155D8">
              <w:rPr>
                <w:sz w:val="22"/>
                <w:szCs w:val="22"/>
              </w:rPr>
              <w:t>Some learners do not self-identify as person a person with disability even when it is clear that they are.</w:t>
            </w:r>
          </w:p>
        </w:tc>
        <w:tc>
          <w:tcPr>
            <w:tcW w:w="652" w:type="pct"/>
          </w:tcPr>
          <w:p w14:paraId="69DB5CF4" w14:textId="77777777" w:rsidR="0051479C" w:rsidRPr="005155D8" w:rsidRDefault="0051479C" w:rsidP="00D5423D">
            <w:pPr>
              <w:spacing w:after="0" w:line="288" w:lineRule="auto"/>
              <w:rPr>
                <w:sz w:val="22"/>
                <w:szCs w:val="22"/>
              </w:rPr>
            </w:pPr>
            <w:r w:rsidRPr="005155D8">
              <w:rPr>
                <w:sz w:val="22"/>
                <w:szCs w:val="22"/>
              </w:rPr>
              <w:t>Explain to the learner the advantages of disclosing and hope they do disclose.</w:t>
            </w:r>
          </w:p>
          <w:p w14:paraId="1F89DF40" w14:textId="77777777" w:rsidR="0051479C" w:rsidRPr="005155D8" w:rsidRDefault="0051479C" w:rsidP="00D5423D">
            <w:pPr>
              <w:spacing w:after="0" w:line="288" w:lineRule="auto"/>
              <w:rPr>
                <w:sz w:val="22"/>
                <w:szCs w:val="22"/>
              </w:rPr>
            </w:pPr>
          </w:p>
          <w:p w14:paraId="07464F3A" w14:textId="77777777" w:rsidR="0051479C" w:rsidRPr="005155D8" w:rsidRDefault="0051479C" w:rsidP="00D5423D">
            <w:pPr>
              <w:spacing w:after="0" w:line="288" w:lineRule="auto"/>
              <w:rPr>
                <w:sz w:val="22"/>
                <w:szCs w:val="22"/>
              </w:rPr>
            </w:pPr>
            <w:r w:rsidRPr="005155D8">
              <w:rPr>
                <w:sz w:val="22"/>
                <w:szCs w:val="22"/>
              </w:rPr>
              <w:t>Enter learner as having a disability only if they self-identify; remember to go back and correct this if learner later discloses</w:t>
            </w:r>
          </w:p>
        </w:tc>
        <w:tc>
          <w:tcPr>
            <w:tcW w:w="882" w:type="pct"/>
          </w:tcPr>
          <w:p w14:paraId="2F5A27A8" w14:textId="77777777" w:rsidR="0051479C" w:rsidRPr="00C969A1" w:rsidRDefault="0051479C" w:rsidP="00D5423D">
            <w:pPr>
              <w:spacing w:after="0" w:line="288" w:lineRule="auto"/>
              <w:rPr>
                <w:bCs/>
                <w:sz w:val="22"/>
                <w:szCs w:val="22"/>
              </w:rPr>
            </w:pPr>
            <w:r w:rsidRPr="00C969A1">
              <w:rPr>
                <w:bCs/>
                <w:sz w:val="22"/>
                <w:szCs w:val="22"/>
              </w:rPr>
              <w:t xml:space="preserve">Refer to the Ontario Human Rights Code definition of “disability”   </w:t>
            </w:r>
            <w:hyperlink r:id="rId10" w:history="1">
              <w:r w:rsidRPr="00C969A1">
                <w:rPr>
                  <w:rStyle w:val="Hyperlink"/>
                  <w:bCs/>
                  <w:sz w:val="22"/>
                  <w:szCs w:val="22"/>
                </w:rPr>
                <w:t>http://www.ohrc.on.ca/en/policy-and-guidelines-disability-and-duty-accommodate/2-what-disability</w:t>
              </w:r>
            </w:hyperlink>
            <w:r w:rsidRPr="00C969A1">
              <w:rPr>
                <w:bCs/>
                <w:sz w:val="22"/>
                <w:szCs w:val="22"/>
              </w:rPr>
              <w:t xml:space="preserve"> </w:t>
            </w:r>
          </w:p>
          <w:p w14:paraId="30B02BBA" w14:textId="77777777" w:rsidR="00C969A1" w:rsidRDefault="00C969A1" w:rsidP="00D5423D">
            <w:pPr>
              <w:spacing w:after="0" w:line="288" w:lineRule="auto"/>
              <w:rPr>
                <w:b/>
                <w:bCs/>
              </w:rPr>
            </w:pPr>
            <w:r>
              <w:rPr>
                <w:b/>
                <w:bCs/>
                <w:sz w:val="22"/>
                <w:szCs w:val="22"/>
              </w:rPr>
              <w:t>NOTE:</w:t>
            </w:r>
            <w:r w:rsidRPr="00167C62">
              <w:rPr>
                <w:b/>
                <w:bCs/>
                <w:sz w:val="22"/>
                <w:szCs w:val="22"/>
              </w:rPr>
              <w:t xml:space="preserve"> even something like needing eye g</w:t>
            </w:r>
            <w:r>
              <w:rPr>
                <w:b/>
                <w:bCs/>
                <w:sz w:val="22"/>
                <w:szCs w:val="22"/>
              </w:rPr>
              <w:t>l</w:t>
            </w:r>
            <w:r w:rsidRPr="00167C62">
              <w:rPr>
                <w:b/>
                <w:bCs/>
                <w:sz w:val="22"/>
                <w:szCs w:val="22"/>
              </w:rPr>
              <w:t>asses can count as a disability under the OHRC definition.</w:t>
            </w:r>
          </w:p>
          <w:p w14:paraId="718A5449" w14:textId="77777777" w:rsidR="00C969A1" w:rsidRDefault="00C969A1" w:rsidP="00D5423D">
            <w:pPr>
              <w:spacing w:after="0" w:line="288" w:lineRule="auto"/>
              <w:rPr>
                <w:sz w:val="22"/>
                <w:szCs w:val="22"/>
              </w:rPr>
            </w:pPr>
          </w:p>
          <w:p w14:paraId="62D06CED" w14:textId="77777777" w:rsidR="00C969A1" w:rsidRDefault="00C969A1" w:rsidP="00D5423D">
            <w:pPr>
              <w:spacing w:after="0" w:line="288" w:lineRule="auto"/>
              <w:rPr>
                <w:sz w:val="22"/>
                <w:szCs w:val="22"/>
              </w:rPr>
            </w:pPr>
          </w:p>
          <w:p w14:paraId="70EFBC67" w14:textId="77777777" w:rsidR="00C969A1" w:rsidRDefault="00C969A1" w:rsidP="00D5423D">
            <w:pPr>
              <w:spacing w:after="0" w:line="288" w:lineRule="auto"/>
              <w:rPr>
                <w:b/>
                <w:bCs/>
              </w:rPr>
            </w:pPr>
            <w:r>
              <w:rPr>
                <w:sz w:val="22"/>
                <w:szCs w:val="22"/>
              </w:rPr>
              <w:t xml:space="preserve">Suggestion from one SP:  </w:t>
            </w:r>
          </w:p>
          <w:p w14:paraId="381BA25F" w14:textId="77777777" w:rsidR="00C969A1" w:rsidRPr="00C969A1" w:rsidRDefault="00C969A1" w:rsidP="00C969A1">
            <w:pPr>
              <w:spacing w:after="0" w:line="288" w:lineRule="auto"/>
              <w:rPr>
                <w:color w:val="253C96"/>
                <w:sz w:val="22"/>
                <w:szCs w:val="22"/>
              </w:rPr>
            </w:pPr>
            <w:r w:rsidRPr="00C969A1">
              <w:rPr>
                <w:color w:val="253C96"/>
                <w:sz w:val="22"/>
                <w:szCs w:val="22"/>
              </w:rPr>
              <w:t xml:space="preserve">Would be helpful to </w:t>
            </w:r>
          </w:p>
          <w:p w14:paraId="1730E02B" w14:textId="77777777" w:rsidR="00C969A1" w:rsidRPr="00C969A1" w:rsidRDefault="00C969A1" w:rsidP="00C969A1">
            <w:pPr>
              <w:spacing w:after="0" w:line="288" w:lineRule="auto"/>
              <w:rPr>
                <w:color w:val="253C96"/>
                <w:sz w:val="22"/>
                <w:szCs w:val="22"/>
              </w:rPr>
            </w:pPr>
            <w:r w:rsidRPr="00C969A1">
              <w:rPr>
                <w:color w:val="253C96"/>
                <w:sz w:val="22"/>
                <w:szCs w:val="22"/>
              </w:rPr>
              <w:t>have a list of benefits for those with disabilities for all SP’s to have on file and use.</w:t>
            </w:r>
          </w:p>
          <w:p w14:paraId="49149A4D" w14:textId="77777777" w:rsidR="00C969A1" w:rsidRPr="00971CAE" w:rsidRDefault="00C969A1" w:rsidP="00D5423D">
            <w:pPr>
              <w:spacing w:after="0" w:line="288" w:lineRule="auto"/>
              <w:rPr>
                <w:b/>
                <w:bCs/>
                <w:sz w:val="22"/>
                <w:szCs w:val="22"/>
              </w:rPr>
            </w:pPr>
          </w:p>
        </w:tc>
        <w:tc>
          <w:tcPr>
            <w:tcW w:w="883" w:type="pct"/>
          </w:tcPr>
          <w:p w14:paraId="36705D28" w14:textId="77777777" w:rsidR="00C969A1" w:rsidRDefault="00C969A1" w:rsidP="00D5423D">
            <w:pPr>
              <w:keepNext/>
              <w:keepLines/>
              <w:spacing w:after="0" w:line="288" w:lineRule="auto"/>
              <w:outlineLvl w:val="5"/>
              <w:rPr>
                <w:sz w:val="22"/>
                <w:szCs w:val="22"/>
              </w:rPr>
            </w:pPr>
          </w:p>
          <w:p w14:paraId="0FB29190" w14:textId="77777777" w:rsidR="0051479C" w:rsidRPr="005155D8" w:rsidRDefault="0051479C" w:rsidP="00D5423D">
            <w:pPr>
              <w:keepNext/>
              <w:keepLines/>
              <w:spacing w:after="0" w:line="288" w:lineRule="auto"/>
              <w:outlineLvl w:val="5"/>
              <w:rPr>
                <w:sz w:val="22"/>
                <w:szCs w:val="22"/>
              </w:rPr>
            </w:pPr>
            <w:r w:rsidRPr="005155D8">
              <w:rPr>
                <w:sz w:val="22"/>
                <w:szCs w:val="22"/>
              </w:rPr>
              <w:t>Suggestion that at intake you can ask a question like : “ if there is a fire alarm/emergency in the building, do you require assistance to leave the building?”  This may result in more disclosures.</w:t>
            </w:r>
          </w:p>
          <w:p w14:paraId="50870678" w14:textId="77777777" w:rsidR="00C969A1" w:rsidRDefault="00C969A1" w:rsidP="00D5423D">
            <w:pPr>
              <w:spacing w:after="0" w:line="288" w:lineRule="auto"/>
              <w:rPr>
                <w:sz w:val="22"/>
                <w:szCs w:val="22"/>
              </w:rPr>
            </w:pPr>
          </w:p>
          <w:p w14:paraId="67101C88" w14:textId="77777777" w:rsidR="0051479C" w:rsidRPr="005155D8" w:rsidRDefault="0051479C" w:rsidP="00D5423D">
            <w:pPr>
              <w:spacing w:after="0" w:line="288" w:lineRule="auto"/>
              <w:rPr>
                <w:sz w:val="22"/>
                <w:szCs w:val="22"/>
              </w:rPr>
            </w:pPr>
            <w:r w:rsidRPr="005155D8">
              <w:rPr>
                <w:sz w:val="22"/>
                <w:szCs w:val="22"/>
              </w:rPr>
              <w:t>Continue to explain to the learner the advantages of discl</w:t>
            </w:r>
            <w:r>
              <w:rPr>
                <w:sz w:val="22"/>
                <w:szCs w:val="22"/>
              </w:rPr>
              <w:t>osing and hope they do disclose</w:t>
            </w:r>
          </w:p>
          <w:p w14:paraId="70237FAB" w14:textId="77777777" w:rsidR="0051479C" w:rsidRDefault="0051479C" w:rsidP="00D5423D">
            <w:pPr>
              <w:spacing w:after="0" w:line="288" w:lineRule="auto"/>
              <w:rPr>
                <w:sz w:val="22"/>
                <w:szCs w:val="22"/>
              </w:rPr>
            </w:pPr>
          </w:p>
          <w:p w14:paraId="1CE5C367" w14:textId="77777777" w:rsidR="0051479C" w:rsidRPr="00167C62" w:rsidRDefault="0051479C" w:rsidP="00D5423D">
            <w:pPr>
              <w:spacing w:after="0" w:line="288" w:lineRule="auto"/>
              <w:rPr>
                <w:b/>
                <w:bCs/>
                <w:sz w:val="22"/>
                <w:szCs w:val="22"/>
              </w:rPr>
            </w:pPr>
          </w:p>
        </w:tc>
        <w:tc>
          <w:tcPr>
            <w:tcW w:w="718" w:type="pct"/>
          </w:tcPr>
          <w:p w14:paraId="3585F8B2" w14:textId="77777777" w:rsidR="0051479C" w:rsidRDefault="0051479C" w:rsidP="00D5423D">
            <w:pPr>
              <w:spacing w:after="0" w:line="288" w:lineRule="auto"/>
              <w:rPr>
                <w:sz w:val="22"/>
                <w:szCs w:val="22"/>
              </w:rPr>
            </w:pPr>
            <w:r>
              <w:rPr>
                <w:sz w:val="22"/>
                <w:szCs w:val="22"/>
              </w:rPr>
              <w:t>Self-disclosure is a sensitive subject.  Clients may be more likely to self-disclose if they understand the benefits of doing so.</w:t>
            </w:r>
          </w:p>
          <w:p w14:paraId="6FA299EE" w14:textId="77777777" w:rsidR="0051479C" w:rsidRDefault="0051479C" w:rsidP="00D5423D">
            <w:pPr>
              <w:spacing w:after="0" w:line="288" w:lineRule="auto"/>
              <w:rPr>
                <w:sz w:val="22"/>
                <w:szCs w:val="22"/>
              </w:rPr>
            </w:pPr>
          </w:p>
          <w:p w14:paraId="4BF8346C" w14:textId="77777777" w:rsidR="0051479C" w:rsidRPr="005155D8" w:rsidRDefault="0051479C" w:rsidP="00D5423D">
            <w:pPr>
              <w:spacing w:after="0" w:line="288" w:lineRule="auto"/>
              <w:rPr>
                <w:sz w:val="22"/>
                <w:szCs w:val="22"/>
              </w:rPr>
            </w:pPr>
            <w:r>
              <w:rPr>
                <w:sz w:val="22"/>
                <w:szCs w:val="22"/>
              </w:rPr>
              <w:t>Disability is a suitability factor that some SPs may need for their DSQR.</w:t>
            </w:r>
          </w:p>
        </w:tc>
        <w:tc>
          <w:tcPr>
            <w:tcW w:w="573" w:type="pct"/>
          </w:tcPr>
          <w:p w14:paraId="0C0001E8" w14:textId="77777777" w:rsidR="0051479C" w:rsidRPr="005155D8" w:rsidRDefault="0051479C" w:rsidP="00D5423D">
            <w:pPr>
              <w:spacing w:after="0" w:line="288" w:lineRule="auto"/>
              <w:rPr>
                <w:b/>
                <w:bCs/>
                <w:sz w:val="22"/>
                <w:szCs w:val="22"/>
              </w:rPr>
            </w:pPr>
          </w:p>
        </w:tc>
      </w:tr>
      <w:tr w:rsidR="004C4AD5" w:rsidRPr="005155D8" w14:paraId="7BD8DDA2" w14:textId="77777777" w:rsidTr="001A56AA">
        <w:trPr>
          <w:trHeight w:val="139"/>
          <w:jc w:val="center"/>
        </w:trPr>
        <w:tc>
          <w:tcPr>
            <w:tcW w:w="580" w:type="pct"/>
          </w:tcPr>
          <w:p w14:paraId="33130C5B" w14:textId="302777DC" w:rsidR="004C4AD5" w:rsidRDefault="004C4AD5" w:rsidP="00D5423D">
            <w:pPr>
              <w:spacing w:after="0" w:line="288" w:lineRule="auto"/>
              <w:rPr>
                <w:b/>
                <w:sz w:val="24"/>
                <w:szCs w:val="24"/>
              </w:rPr>
            </w:pPr>
            <w:r>
              <w:rPr>
                <w:b/>
                <w:sz w:val="24"/>
                <w:szCs w:val="24"/>
              </w:rPr>
              <w:t xml:space="preserve">Highest level of education – </w:t>
            </w:r>
          </w:p>
          <w:p w14:paraId="3470B566" w14:textId="7CCDCF14" w:rsidR="004C4AD5" w:rsidRPr="00DC4415" w:rsidRDefault="004C4AD5" w:rsidP="00D5423D">
            <w:pPr>
              <w:spacing w:after="0" w:line="288" w:lineRule="auto"/>
              <w:rPr>
                <w:b/>
                <w:sz w:val="24"/>
                <w:szCs w:val="24"/>
              </w:rPr>
            </w:pPr>
            <w:r>
              <w:rPr>
                <w:b/>
                <w:sz w:val="24"/>
                <w:szCs w:val="24"/>
              </w:rPr>
              <w:t>&lt;</w:t>
            </w:r>
            <w:r w:rsidRPr="00DC4415">
              <w:rPr>
                <w:b/>
                <w:sz w:val="24"/>
                <w:szCs w:val="24"/>
              </w:rPr>
              <w:t xml:space="preserve"> grade 12</w:t>
            </w:r>
          </w:p>
        </w:tc>
        <w:tc>
          <w:tcPr>
            <w:tcW w:w="712" w:type="pct"/>
          </w:tcPr>
          <w:p w14:paraId="62EBCD6A" w14:textId="77777777" w:rsidR="004C4AD5" w:rsidRPr="005155D8" w:rsidRDefault="004C4AD5" w:rsidP="00D5423D">
            <w:pPr>
              <w:spacing w:after="0" w:line="288" w:lineRule="auto"/>
              <w:rPr>
                <w:sz w:val="22"/>
                <w:szCs w:val="22"/>
              </w:rPr>
            </w:pPr>
            <w:r w:rsidRPr="005155D8">
              <w:rPr>
                <w:sz w:val="22"/>
                <w:szCs w:val="22"/>
              </w:rPr>
              <w:t xml:space="preserve">Some SPs unsure what to accept as having a grade 12 education – what if did high school </w:t>
            </w:r>
            <w:r w:rsidRPr="005155D8">
              <w:rPr>
                <w:sz w:val="22"/>
                <w:szCs w:val="22"/>
              </w:rPr>
              <w:lastRenderedPageBreak/>
              <w:t xml:space="preserve">outside Ontario, or outside Canada – how do we know it’s equivalent?  Do we need to know if it is equivalent? What about the “basic” diploma vs. the “real” academic diploma? Does the SP need to ask for proof of diploma?  </w:t>
            </w:r>
          </w:p>
          <w:p w14:paraId="0B3440AA" w14:textId="77777777" w:rsidR="004C4AD5" w:rsidRPr="005155D8" w:rsidRDefault="004C4AD5" w:rsidP="00D5423D">
            <w:pPr>
              <w:spacing w:after="0" w:line="288" w:lineRule="auto"/>
              <w:rPr>
                <w:sz w:val="22"/>
                <w:szCs w:val="22"/>
              </w:rPr>
            </w:pPr>
            <w:r w:rsidRPr="005155D8">
              <w:rPr>
                <w:sz w:val="22"/>
                <w:szCs w:val="22"/>
              </w:rPr>
              <w:t>How to record people who have &lt; grade 12 but have done some college?</w:t>
            </w:r>
          </w:p>
        </w:tc>
        <w:tc>
          <w:tcPr>
            <w:tcW w:w="652" w:type="pct"/>
          </w:tcPr>
          <w:p w14:paraId="6EA17579" w14:textId="77777777" w:rsidR="004C4AD5" w:rsidRDefault="004C4AD5" w:rsidP="00D5423D">
            <w:pPr>
              <w:spacing w:after="0" w:line="288" w:lineRule="auto"/>
              <w:ind w:left="69"/>
              <w:rPr>
                <w:sz w:val="22"/>
                <w:szCs w:val="22"/>
              </w:rPr>
            </w:pPr>
            <w:r w:rsidRPr="005155D8">
              <w:rPr>
                <w:sz w:val="22"/>
                <w:szCs w:val="22"/>
              </w:rPr>
              <w:lastRenderedPageBreak/>
              <w:t xml:space="preserve">Various practices; also </w:t>
            </w:r>
            <w:r>
              <w:rPr>
                <w:sz w:val="22"/>
                <w:szCs w:val="22"/>
              </w:rPr>
              <w:t xml:space="preserve">some </w:t>
            </w:r>
            <w:r w:rsidRPr="005155D8">
              <w:rPr>
                <w:sz w:val="22"/>
                <w:szCs w:val="22"/>
              </w:rPr>
              <w:t xml:space="preserve">concern that if you check </w:t>
            </w:r>
          </w:p>
          <w:p w14:paraId="43249A3E" w14:textId="77777777" w:rsidR="004C4AD5" w:rsidRPr="005155D8" w:rsidRDefault="004C4AD5" w:rsidP="00D5423D">
            <w:pPr>
              <w:spacing w:after="0" w:line="288" w:lineRule="auto"/>
              <w:ind w:left="69"/>
              <w:rPr>
                <w:sz w:val="22"/>
                <w:szCs w:val="22"/>
              </w:rPr>
            </w:pPr>
            <w:r>
              <w:rPr>
                <w:sz w:val="22"/>
                <w:szCs w:val="22"/>
              </w:rPr>
              <w:lastRenderedPageBreak/>
              <w:t>&lt;</w:t>
            </w:r>
            <w:r w:rsidRPr="005155D8">
              <w:rPr>
                <w:sz w:val="22"/>
                <w:szCs w:val="22"/>
              </w:rPr>
              <w:t xml:space="preserve">grade 12 and then enter “some college”, </w:t>
            </w:r>
            <w:r>
              <w:rPr>
                <w:sz w:val="22"/>
                <w:szCs w:val="22"/>
              </w:rPr>
              <w:t xml:space="preserve">  </w:t>
            </w:r>
            <w:r w:rsidRPr="005155D8">
              <w:rPr>
                <w:sz w:val="22"/>
                <w:szCs w:val="22"/>
              </w:rPr>
              <w:t>it deletes “&lt; grade 12”</w:t>
            </w:r>
          </w:p>
          <w:p w14:paraId="6E3E1CF4" w14:textId="77777777" w:rsidR="004C4AD5" w:rsidRPr="005155D8" w:rsidRDefault="004C4AD5" w:rsidP="00D5423D">
            <w:pPr>
              <w:spacing w:after="0" w:line="288" w:lineRule="auto"/>
              <w:ind w:left="69"/>
              <w:rPr>
                <w:sz w:val="22"/>
                <w:szCs w:val="22"/>
              </w:rPr>
            </w:pPr>
          </w:p>
          <w:p w14:paraId="5FE9B413" w14:textId="77777777" w:rsidR="004C4AD5" w:rsidRPr="005155D8" w:rsidRDefault="004C4AD5" w:rsidP="00D5423D">
            <w:pPr>
              <w:spacing w:after="0" w:line="288" w:lineRule="auto"/>
              <w:ind w:left="69"/>
              <w:rPr>
                <w:sz w:val="22"/>
                <w:szCs w:val="22"/>
              </w:rPr>
            </w:pPr>
          </w:p>
        </w:tc>
        <w:tc>
          <w:tcPr>
            <w:tcW w:w="882" w:type="pct"/>
          </w:tcPr>
          <w:p w14:paraId="18CB1B74" w14:textId="77777777" w:rsidR="004C4AD5" w:rsidRDefault="004C4AD5" w:rsidP="005C09D9">
            <w:pPr>
              <w:spacing w:after="0" w:line="288" w:lineRule="auto"/>
              <w:rPr>
                <w:sz w:val="22"/>
                <w:szCs w:val="22"/>
              </w:rPr>
            </w:pPr>
            <w:r w:rsidRPr="005155D8">
              <w:rPr>
                <w:sz w:val="22"/>
                <w:szCs w:val="22"/>
                <w:lang w:eastAsia="en-US"/>
              </w:rPr>
              <w:lastRenderedPageBreak/>
              <w:t>LBS Detailed Service Quality Report Guide.</w:t>
            </w:r>
            <w:r w:rsidRPr="005155D8">
              <w:rPr>
                <w:sz w:val="22"/>
                <w:szCs w:val="22"/>
                <w:lang w:eastAsia="en-US"/>
              </w:rPr>
              <w:br/>
              <w:t> </w:t>
            </w:r>
            <w:hyperlink r:id="rId11" w:history="1">
              <w:r w:rsidRPr="000D42BA">
                <w:rPr>
                  <w:rStyle w:val="Hyperlink"/>
                  <w:sz w:val="22"/>
                  <w:szCs w:val="22"/>
                </w:rPr>
                <w:t>http://www.tcu.gov.on.ca/eng/eopg/eotransformation/c</w:t>
              </w:r>
              <w:r w:rsidRPr="000D42BA">
                <w:rPr>
                  <w:rStyle w:val="Hyperlink"/>
                  <w:sz w:val="22"/>
                  <w:szCs w:val="22"/>
                </w:rPr>
                <w:lastRenderedPageBreak/>
                <w:t>ams_reporting/eois-cams_reporting_lbs_dsq.pdf</w:t>
              </w:r>
            </w:hyperlink>
          </w:p>
          <w:p w14:paraId="42E8FB65" w14:textId="77777777" w:rsidR="004C4AD5" w:rsidRDefault="004C4AD5" w:rsidP="005C09D9">
            <w:pPr>
              <w:spacing w:after="0" w:line="288" w:lineRule="auto"/>
              <w:rPr>
                <w:sz w:val="22"/>
                <w:szCs w:val="22"/>
              </w:rPr>
            </w:pPr>
            <w:r>
              <w:rPr>
                <w:sz w:val="22"/>
                <w:szCs w:val="22"/>
              </w:rPr>
              <w:t>Page 15.</w:t>
            </w:r>
          </w:p>
          <w:p w14:paraId="7F012BC0" w14:textId="77777777" w:rsidR="004C4AD5" w:rsidRPr="00276F6B" w:rsidRDefault="004C4AD5" w:rsidP="005C09D9">
            <w:pPr>
              <w:spacing w:after="0" w:line="288" w:lineRule="auto"/>
              <w:rPr>
                <w:sz w:val="10"/>
                <w:szCs w:val="10"/>
              </w:rPr>
            </w:pPr>
          </w:p>
          <w:p w14:paraId="6AF871B0" w14:textId="77777777" w:rsidR="004C4AD5" w:rsidRDefault="004C4AD5" w:rsidP="005C09D9">
            <w:pPr>
              <w:spacing w:after="0" w:line="288" w:lineRule="auto"/>
              <w:rPr>
                <w:sz w:val="22"/>
                <w:szCs w:val="22"/>
                <w:lang w:eastAsia="en-US"/>
              </w:rPr>
            </w:pPr>
            <w:r>
              <w:rPr>
                <w:sz w:val="22"/>
                <w:szCs w:val="22"/>
                <w:lang w:eastAsia="en-US"/>
              </w:rPr>
              <w:t xml:space="preserve">These are the things from the PRF that are counted as </w:t>
            </w:r>
          </w:p>
          <w:p w14:paraId="582E6067" w14:textId="77777777" w:rsidR="004C4AD5" w:rsidRDefault="004C4AD5" w:rsidP="005C09D9">
            <w:pPr>
              <w:spacing w:after="0" w:line="288" w:lineRule="auto"/>
              <w:rPr>
                <w:sz w:val="22"/>
                <w:szCs w:val="22"/>
                <w:lang w:eastAsia="en-US"/>
              </w:rPr>
            </w:pPr>
            <w:r w:rsidRPr="005155D8">
              <w:rPr>
                <w:sz w:val="22"/>
                <w:szCs w:val="22"/>
                <w:lang w:eastAsia="en-US"/>
              </w:rPr>
              <w:t>&lt;</w:t>
            </w:r>
            <w:r>
              <w:rPr>
                <w:sz w:val="22"/>
                <w:szCs w:val="22"/>
                <w:lang w:eastAsia="en-US"/>
              </w:rPr>
              <w:t xml:space="preserve"> </w:t>
            </w:r>
            <w:r w:rsidRPr="005155D8">
              <w:rPr>
                <w:sz w:val="22"/>
                <w:szCs w:val="22"/>
                <w:lang w:eastAsia="en-US"/>
              </w:rPr>
              <w:t xml:space="preserve">Grade 12 </w:t>
            </w:r>
            <w:r>
              <w:rPr>
                <w:sz w:val="22"/>
                <w:szCs w:val="22"/>
                <w:lang w:eastAsia="en-US"/>
              </w:rPr>
              <w:t xml:space="preserve">on the DSQ report.  </w:t>
            </w:r>
          </w:p>
          <w:p w14:paraId="063525D0" w14:textId="77777777" w:rsidR="004C4AD5" w:rsidRDefault="004C4AD5" w:rsidP="005C09D9">
            <w:pPr>
              <w:spacing w:after="0" w:line="288" w:lineRule="auto"/>
              <w:rPr>
                <w:color w:val="0000FF"/>
                <w:sz w:val="22"/>
                <w:szCs w:val="22"/>
                <w:u w:val="single"/>
                <w:lang w:eastAsia="en-US"/>
              </w:rPr>
            </w:pPr>
            <w:r w:rsidRPr="0068341A">
              <w:rPr>
                <w:noProof/>
                <w:lang w:val="en-US" w:eastAsia="en-US"/>
              </w:rPr>
              <w:drawing>
                <wp:inline distT="0" distB="0" distL="0" distR="0" wp14:anchorId="7F22308F" wp14:editId="5DADD89B">
                  <wp:extent cx="2431687" cy="8661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46125" cy="906901"/>
                          </a:xfrm>
                          <a:prstGeom prst="rect">
                            <a:avLst/>
                          </a:prstGeom>
                        </pic:spPr>
                      </pic:pic>
                    </a:graphicData>
                  </a:graphic>
                </wp:inline>
              </w:drawing>
            </w:r>
          </w:p>
          <w:p w14:paraId="3FF86099" w14:textId="77777777" w:rsidR="004C4AD5" w:rsidRDefault="004C4AD5" w:rsidP="005C09D9">
            <w:pPr>
              <w:spacing w:after="0" w:line="288" w:lineRule="auto"/>
              <w:rPr>
                <w:sz w:val="22"/>
                <w:szCs w:val="22"/>
                <w:lang w:eastAsia="en-US"/>
              </w:rPr>
            </w:pPr>
          </w:p>
          <w:p w14:paraId="369EA4B9" w14:textId="77777777" w:rsidR="004C4AD5" w:rsidRPr="00C734A0" w:rsidRDefault="004C4AD5" w:rsidP="005C09D9">
            <w:pPr>
              <w:spacing w:after="0" w:line="288" w:lineRule="auto"/>
              <w:rPr>
                <w:sz w:val="22"/>
                <w:szCs w:val="22"/>
                <w:lang w:eastAsia="en-US"/>
              </w:rPr>
            </w:pPr>
            <w:r>
              <w:rPr>
                <w:sz w:val="22"/>
                <w:szCs w:val="22"/>
                <w:lang w:eastAsia="en-US"/>
              </w:rPr>
              <w:t>There is no set requirement for learner to show proof of diploma.  This is up to the provider.</w:t>
            </w:r>
          </w:p>
          <w:p w14:paraId="78C6639A" w14:textId="77777777" w:rsidR="004C4AD5" w:rsidRPr="00715724" w:rsidRDefault="004C4AD5" w:rsidP="00C734A0">
            <w:pPr>
              <w:spacing w:after="0" w:line="288" w:lineRule="auto"/>
              <w:rPr>
                <w:sz w:val="22"/>
                <w:szCs w:val="22"/>
              </w:rPr>
            </w:pPr>
          </w:p>
        </w:tc>
        <w:tc>
          <w:tcPr>
            <w:tcW w:w="883" w:type="pct"/>
          </w:tcPr>
          <w:p w14:paraId="6DE7F6D7" w14:textId="77777777" w:rsidR="004C4AD5" w:rsidRPr="005155D8" w:rsidRDefault="004C4AD5" w:rsidP="00D5423D">
            <w:pPr>
              <w:pStyle w:val="ListBullet"/>
              <w:numPr>
                <w:ilvl w:val="0"/>
                <w:numId w:val="0"/>
              </w:numPr>
              <w:spacing w:line="288" w:lineRule="auto"/>
              <w:ind w:left="32"/>
              <w:rPr>
                <w:rFonts w:ascii="Book Antiqua" w:hAnsi="Book Antiqua" w:cs="Book Antiqua"/>
                <w:sz w:val="22"/>
                <w:szCs w:val="22"/>
                <w:lang w:val="en-CA" w:eastAsia="en-CA"/>
              </w:rPr>
            </w:pPr>
            <w:r w:rsidRPr="005155D8">
              <w:rPr>
                <w:rFonts w:ascii="Book Antiqua" w:hAnsi="Book Antiqua" w:cs="Book Antiqua"/>
                <w:sz w:val="22"/>
                <w:szCs w:val="22"/>
                <w:lang w:val="en-CA" w:eastAsia="en-CA"/>
              </w:rPr>
              <w:lastRenderedPageBreak/>
              <w:t xml:space="preserve">Take learner’s word – ASK what is highest level completed in own country, or </w:t>
            </w:r>
            <w:r w:rsidRPr="005155D8">
              <w:rPr>
                <w:rFonts w:ascii="Book Antiqua" w:hAnsi="Book Antiqua" w:cs="Book Antiqua"/>
                <w:sz w:val="22"/>
                <w:szCs w:val="22"/>
                <w:lang w:val="en-CA" w:eastAsia="en-CA"/>
              </w:rPr>
              <w:lastRenderedPageBreak/>
              <w:t xml:space="preserve">ask </w:t>
            </w:r>
            <w:r>
              <w:rPr>
                <w:rFonts w:ascii="Book Antiqua" w:hAnsi="Book Antiqua" w:cs="Book Antiqua"/>
                <w:sz w:val="22"/>
                <w:szCs w:val="22"/>
                <w:lang w:val="en-CA" w:eastAsia="en-CA"/>
              </w:rPr>
              <w:t>“</w:t>
            </w:r>
            <w:r w:rsidRPr="005155D8">
              <w:rPr>
                <w:rFonts w:ascii="Book Antiqua" w:hAnsi="Book Antiqua" w:cs="Book Antiqua"/>
                <w:sz w:val="22"/>
                <w:szCs w:val="22"/>
                <w:lang w:val="en-CA" w:eastAsia="en-CA"/>
              </w:rPr>
              <w:t>did you finish high school?</w:t>
            </w:r>
            <w:r>
              <w:rPr>
                <w:rFonts w:ascii="Book Antiqua" w:hAnsi="Book Antiqua" w:cs="Book Antiqua"/>
                <w:sz w:val="22"/>
                <w:szCs w:val="22"/>
                <w:lang w:val="en-CA" w:eastAsia="en-CA"/>
              </w:rPr>
              <w:t>”</w:t>
            </w:r>
          </w:p>
          <w:p w14:paraId="76F58585" w14:textId="77777777" w:rsidR="004C4AD5" w:rsidRPr="005155D8" w:rsidRDefault="004C4AD5" w:rsidP="00D5423D">
            <w:pPr>
              <w:pStyle w:val="ListBullet"/>
              <w:numPr>
                <w:ilvl w:val="0"/>
                <w:numId w:val="0"/>
              </w:numPr>
              <w:spacing w:line="288" w:lineRule="auto"/>
              <w:rPr>
                <w:rFonts w:ascii="Book Antiqua" w:hAnsi="Book Antiqua" w:cs="Book Antiqua"/>
                <w:sz w:val="22"/>
                <w:szCs w:val="22"/>
                <w:lang w:val="en-CA" w:eastAsia="en-CA"/>
              </w:rPr>
            </w:pPr>
          </w:p>
          <w:p w14:paraId="4410436A" w14:textId="77777777" w:rsidR="004C4AD5" w:rsidRPr="005155D8" w:rsidRDefault="004C4AD5" w:rsidP="00D5423D">
            <w:pPr>
              <w:pStyle w:val="ListBullet"/>
              <w:numPr>
                <w:ilvl w:val="0"/>
                <w:numId w:val="0"/>
              </w:numPr>
              <w:spacing w:line="288" w:lineRule="auto"/>
              <w:ind w:left="32"/>
              <w:rPr>
                <w:rFonts w:ascii="Book Antiqua" w:hAnsi="Book Antiqua" w:cs="Book Antiqua"/>
                <w:sz w:val="22"/>
                <w:szCs w:val="22"/>
                <w:lang w:val="en-CA" w:eastAsia="en-CA"/>
              </w:rPr>
            </w:pPr>
            <w:r w:rsidRPr="005155D8">
              <w:rPr>
                <w:rFonts w:ascii="Book Antiqua" w:hAnsi="Book Antiqua" w:cs="Book Antiqua"/>
                <w:sz w:val="22"/>
                <w:szCs w:val="22"/>
                <w:lang w:val="en-CA" w:eastAsia="en-CA"/>
              </w:rPr>
              <w:t>ES PRF does ask if client did high school outside Canada. They suggest asking the questions above.</w:t>
            </w:r>
          </w:p>
          <w:p w14:paraId="3EF71C57" w14:textId="77777777" w:rsidR="004C4AD5" w:rsidRDefault="004C4AD5" w:rsidP="00D5423D">
            <w:pPr>
              <w:pStyle w:val="ListBullet"/>
              <w:numPr>
                <w:ilvl w:val="0"/>
                <w:numId w:val="0"/>
              </w:numPr>
              <w:spacing w:line="288" w:lineRule="auto"/>
              <w:ind w:left="32"/>
              <w:rPr>
                <w:rFonts w:ascii="Book Antiqua" w:hAnsi="Book Antiqua" w:cs="Book Antiqua"/>
                <w:sz w:val="22"/>
                <w:szCs w:val="22"/>
              </w:rPr>
            </w:pPr>
          </w:p>
          <w:p w14:paraId="2906FF7D" w14:textId="77777777" w:rsidR="004C4AD5" w:rsidRPr="005155D8" w:rsidRDefault="004C4AD5" w:rsidP="00EE7A2C">
            <w:pPr>
              <w:pStyle w:val="ListBullet"/>
              <w:numPr>
                <w:ilvl w:val="0"/>
                <w:numId w:val="0"/>
              </w:numPr>
              <w:spacing w:line="288" w:lineRule="auto"/>
              <w:ind w:left="32"/>
              <w:rPr>
                <w:rFonts w:ascii="Book Antiqua" w:hAnsi="Book Antiqua" w:cs="Book Antiqua"/>
                <w:sz w:val="22"/>
                <w:szCs w:val="22"/>
              </w:rPr>
            </w:pPr>
            <w:r>
              <w:rPr>
                <w:rFonts w:ascii="Book Antiqua" w:hAnsi="Book Antiqua" w:cs="Book Antiqua"/>
                <w:sz w:val="22"/>
                <w:szCs w:val="22"/>
              </w:rPr>
              <w:t xml:space="preserve">If learner has also had some other education, this can be entered in the new Additional Education section </w:t>
            </w:r>
          </w:p>
        </w:tc>
        <w:tc>
          <w:tcPr>
            <w:tcW w:w="718" w:type="pct"/>
          </w:tcPr>
          <w:p w14:paraId="0C8415A3" w14:textId="77777777" w:rsidR="004C4AD5" w:rsidRPr="005155D8" w:rsidRDefault="004C4AD5" w:rsidP="00D5423D">
            <w:pPr>
              <w:spacing w:after="0" w:line="288" w:lineRule="auto"/>
              <w:rPr>
                <w:sz w:val="22"/>
                <w:szCs w:val="22"/>
              </w:rPr>
            </w:pPr>
            <w:r w:rsidRPr="005155D8">
              <w:rPr>
                <w:sz w:val="22"/>
                <w:szCs w:val="22"/>
              </w:rPr>
              <w:lastRenderedPageBreak/>
              <w:t xml:space="preserve">Conforms to CaMS definition and SPs aren’t credentialing experts. </w:t>
            </w:r>
            <w:r w:rsidRPr="005155D8">
              <w:rPr>
                <w:sz w:val="22"/>
                <w:szCs w:val="22"/>
              </w:rPr>
              <w:lastRenderedPageBreak/>
              <w:t>Can note any details in learner files .</w:t>
            </w:r>
          </w:p>
        </w:tc>
        <w:tc>
          <w:tcPr>
            <w:tcW w:w="573" w:type="pct"/>
          </w:tcPr>
          <w:p w14:paraId="423EBCAC" w14:textId="77777777" w:rsidR="004C4AD5" w:rsidRPr="005155D8" w:rsidRDefault="004C4AD5" w:rsidP="00D5423D">
            <w:pPr>
              <w:spacing w:after="0" w:line="288" w:lineRule="auto"/>
              <w:rPr>
                <w:b/>
                <w:bCs/>
                <w:sz w:val="22"/>
                <w:szCs w:val="22"/>
              </w:rPr>
            </w:pPr>
          </w:p>
        </w:tc>
      </w:tr>
      <w:tr w:rsidR="004C4AD5" w:rsidRPr="005155D8" w14:paraId="47D68775" w14:textId="77777777" w:rsidTr="001A56AA">
        <w:trPr>
          <w:trHeight w:val="584"/>
          <w:jc w:val="center"/>
        </w:trPr>
        <w:tc>
          <w:tcPr>
            <w:tcW w:w="580" w:type="pct"/>
          </w:tcPr>
          <w:p w14:paraId="752DFD79" w14:textId="77777777" w:rsidR="004C4AD5" w:rsidRDefault="004C4AD5" w:rsidP="00D5423D">
            <w:pPr>
              <w:spacing w:after="0" w:line="288" w:lineRule="auto"/>
              <w:rPr>
                <w:b/>
                <w:sz w:val="24"/>
                <w:szCs w:val="24"/>
              </w:rPr>
            </w:pPr>
            <w:r>
              <w:rPr>
                <w:b/>
                <w:sz w:val="24"/>
                <w:szCs w:val="24"/>
              </w:rPr>
              <w:t>Additional education:</w:t>
            </w:r>
          </w:p>
          <w:p w14:paraId="4AC9276F" w14:textId="21FAA9CA" w:rsidR="004C4AD5" w:rsidRDefault="004C4AD5" w:rsidP="00D5423D">
            <w:pPr>
              <w:spacing w:after="0" w:line="288" w:lineRule="auto"/>
              <w:rPr>
                <w:b/>
                <w:sz w:val="24"/>
                <w:szCs w:val="24"/>
              </w:rPr>
            </w:pPr>
          </w:p>
          <w:p w14:paraId="49BB972C" w14:textId="77777777" w:rsidR="004C4AD5" w:rsidRPr="000205B0" w:rsidRDefault="004C4AD5" w:rsidP="00D5423D">
            <w:pPr>
              <w:spacing w:after="0" w:line="288" w:lineRule="auto"/>
              <w:rPr>
                <w:b/>
                <w:sz w:val="24"/>
                <w:szCs w:val="24"/>
              </w:rPr>
            </w:pPr>
            <w:r w:rsidRPr="000205B0">
              <w:rPr>
                <w:b/>
                <w:sz w:val="24"/>
                <w:szCs w:val="24"/>
              </w:rPr>
              <w:t>“some college”</w:t>
            </w:r>
          </w:p>
        </w:tc>
        <w:tc>
          <w:tcPr>
            <w:tcW w:w="712" w:type="pct"/>
          </w:tcPr>
          <w:p w14:paraId="3CA34E9F" w14:textId="77777777" w:rsidR="004C4AD5" w:rsidRDefault="004C4AD5" w:rsidP="00D5423D">
            <w:pPr>
              <w:pStyle w:val="ListBullet"/>
              <w:numPr>
                <w:ilvl w:val="0"/>
                <w:numId w:val="0"/>
              </w:numPr>
              <w:spacing w:line="288" w:lineRule="auto"/>
              <w:rPr>
                <w:rFonts w:ascii="Book Antiqua" w:hAnsi="Book Antiqua" w:cs="Book Antiqua"/>
                <w:sz w:val="22"/>
                <w:szCs w:val="22"/>
                <w:lang w:val="en-CA" w:eastAsia="en-CA"/>
              </w:rPr>
            </w:pPr>
            <w:r w:rsidRPr="005155D8">
              <w:rPr>
                <w:rFonts w:ascii="Book Antiqua" w:hAnsi="Book Antiqua" w:cs="Book Antiqua"/>
                <w:sz w:val="22"/>
                <w:szCs w:val="22"/>
                <w:lang w:val="en-CA" w:eastAsia="en-CA"/>
              </w:rPr>
              <w:t>Definition of “some college” unclear.  Does this include one course? Half a course? Only completed courses?</w:t>
            </w:r>
          </w:p>
          <w:p w14:paraId="600C0938" w14:textId="77777777" w:rsidR="004C4AD5" w:rsidRDefault="004C4AD5" w:rsidP="00D5423D">
            <w:pPr>
              <w:pStyle w:val="ListBullet"/>
              <w:numPr>
                <w:ilvl w:val="0"/>
                <w:numId w:val="0"/>
              </w:numPr>
              <w:spacing w:line="288" w:lineRule="auto"/>
              <w:rPr>
                <w:rFonts w:ascii="Book Antiqua" w:hAnsi="Book Antiqua" w:cs="Book Antiqua"/>
                <w:sz w:val="22"/>
                <w:szCs w:val="22"/>
                <w:lang w:val="en-CA" w:eastAsia="en-CA"/>
              </w:rPr>
            </w:pPr>
          </w:p>
          <w:p w14:paraId="48CA92EB" w14:textId="77777777" w:rsidR="004C4AD5" w:rsidRPr="005155D8" w:rsidRDefault="004C4AD5" w:rsidP="00D5423D">
            <w:pPr>
              <w:pStyle w:val="ListBullet"/>
              <w:numPr>
                <w:ilvl w:val="0"/>
                <w:numId w:val="0"/>
              </w:numPr>
              <w:spacing w:line="288" w:lineRule="auto"/>
              <w:rPr>
                <w:rFonts w:ascii="Book Antiqua" w:hAnsi="Book Antiqua" w:cs="Book Antiqua"/>
                <w:sz w:val="22"/>
                <w:szCs w:val="22"/>
                <w:lang w:val="en-CA" w:eastAsia="en-CA"/>
              </w:rPr>
            </w:pPr>
          </w:p>
          <w:p w14:paraId="1E731897" w14:textId="77777777" w:rsidR="004C4AD5" w:rsidRPr="005155D8" w:rsidRDefault="004C4AD5" w:rsidP="00D5423D">
            <w:pPr>
              <w:pStyle w:val="ListBullet"/>
              <w:numPr>
                <w:ilvl w:val="0"/>
                <w:numId w:val="0"/>
              </w:numPr>
              <w:spacing w:line="288" w:lineRule="auto"/>
              <w:rPr>
                <w:rFonts w:ascii="Book Antiqua" w:hAnsi="Book Antiqua" w:cs="Book Antiqua"/>
                <w:sz w:val="22"/>
                <w:szCs w:val="22"/>
                <w:lang w:val="en-CA" w:eastAsia="en-CA"/>
              </w:rPr>
            </w:pPr>
          </w:p>
        </w:tc>
        <w:tc>
          <w:tcPr>
            <w:tcW w:w="652" w:type="pct"/>
          </w:tcPr>
          <w:p w14:paraId="40831CD1" w14:textId="77777777" w:rsidR="004C4AD5" w:rsidRPr="005155D8" w:rsidRDefault="004C4AD5" w:rsidP="00D5423D">
            <w:pPr>
              <w:spacing w:after="0" w:line="288" w:lineRule="auto"/>
              <w:ind w:left="72"/>
              <w:rPr>
                <w:sz w:val="22"/>
                <w:szCs w:val="22"/>
              </w:rPr>
            </w:pPr>
            <w:r>
              <w:rPr>
                <w:sz w:val="22"/>
                <w:szCs w:val="22"/>
              </w:rPr>
              <w:t xml:space="preserve">SPs may or may not be including uncompleted courses as “some college” </w:t>
            </w:r>
          </w:p>
        </w:tc>
        <w:tc>
          <w:tcPr>
            <w:tcW w:w="882" w:type="pct"/>
          </w:tcPr>
          <w:p w14:paraId="00F54E1A" w14:textId="77777777" w:rsidR="004C4AD5" w:rsidRPr="003A1865" w:rsidRDefault="004C4AD5" w:rsidP="00D5423D">
            <w:pPr>
              <w:spacing w:after="0" w:line="288" w:lineRule="auto"/>
              <w:ind w:left="72"/>
              <w:rPr>
                <w:sz w:val="22"/>
                <w:szCs w:val="22"/>
              </w:rPr>
            </w:pPr>
          </w:p>
        </w:tc>
        <w:tc>
          <w:tcPr>
            <w:tcW w:w="883" w:type="pct"/>
          </w:tcPr>
          <w:p w14:paraId="5DC1FC8E" w14:textId="77777777" w:rsidR="004C4AD5" w:rsidRPr="00481BC6" w:rsidRDefault="004C4AD5" w:rsidP="00D5423D">
            <w:pPr>
              <w:pStyle w:val="ListBullet"/>
              <w:numPr>
                <w:ilvl w:val="0"/>
                <w:numId w:val="0"/>
              </w:numPr>
              <w:spacing w:line="288" w:lineRule="auto"/>
              <w:ind w:left="32"/>
              <w:rPr>
                <w:rFonts w:ascii="Book Antiqua" w:hAnsi="Book Antiqua" w:cs="Book Antiqua"/>
                <w:sz w:val="22"/>
                <w:szCs w:val="22"/>
                <w:lang w:val="en-CA" w:eastAsia="en-CA"/>
              </w:rPr>
            </w:pPr>
            <w:r w:rsidRPr="00481BC6">
              <w:rPr>
                <w:rFonts w:ascii="Book Antiqua" w:hAnsi="Book Antiqua" w:cs="Book Antiqua"/>
                <w:b/>
                <w:bCs/>
                <w:sz w:val="22"/>
                <w:szCs w:val="22"/>
                <w:lang w:val="en-CA" w:eastAsia="en-CA"/>
              </w:rPr>
              <w:t>SUGGESTED</w:t>
            </w:r>
            <w:r w:rsidRPr="00481BC6">
              <w:rPr>
                <w:rFonts w:ascii="Book Antiqua" w:hAnsi="Book Antiqua" w:cs="Book Antiqua"/>
                <w:sz w:val="22"/>
                <w:szCs w:val="22"/>
                <w:lang w:val="en-CA" w:eastAsia="en-CA"/>
              </w:rPr>
              <w:t>:</w:t>
            </w:r>
          </w:p>
          <w:p w14:paraId="7602CDDE" w14:textId="77777777" w:rsidR="004C4AD5" w:rsidRPr="00481BC6" w:rsidRDefault="004C4AD5" w:rsidP="00D5423D">
            <w:pPr>
              <w:pStyle w:val="ListBullet"/>
              <w:numPr>
                <w:ilvl w:val="0"/>
                <w:numId w:val="0"/>
              </w:numPr>
              <w:spacing w:line="288" w:lineRule="auto"/>
              <w:ind w:left="32"/>
              <w:rPr>
                <w:rFonts w:ascii="Book Antiqua" w:hAnsi="Book Antiqua" w:cs="Book Antiqua"/>
                <w:sz w:val="22"/>
                <w:szCs w:val="22"/>
                <w:lang w:val="en-CA" w:eastAsia="en-CA"/>
              </w:rPr>
            </w:pPr>
            <w:r w:rsidRPr="00481BC6">
              <w:rPr>
                <w:rFonts w:ascii="Book Antiqua" w:hAnsi="Book Antiqua" w:cs="Book Antiqua"/>
                <w:sz w:val="22"/>
                <w:szCs w:val="22"/>
                <w:lang w:val="en-CA" w:eastAsia="en-CA"/>
              </w:rPr>
              <w:t xml:space="preserve">-if learner </w:t>
            </w:r>
            <w:r w:rsidRPr="00481BC6">
              <w:rPr>
                <w:rFonts w:ascii="Book Antiqua" w:hAnsi="Book Antiqua" w:cs="Book Antiqua"/>
                <w:b/>
                <w:bCs/>
                <w:sz w:val="22"/>
                <w:szCs w:val="22"/>
                <w:lang w:val="en-CA" w:eastAsia="en-CA"/>
              </w:rPr>
              <w:t>completed</w:t>
            </w:r>
            <w:r w:rsidRPr="00481BC6">
              <w:rPr>
                <w:rFonts w:ascii="Book Antiqua" w:hAnsi="Book Antiqua" w:cs="Book Antiqua"/>
                <w:sz w:val="22"/>
                <w:szCs w:val="22"/>
                <w:lang w:val="en-CA" w:eastAsia="en-CA"/>
              </w:rPr>
              <w:t xml:space="preserve"> one course or more, enter “some college” </w:t>
            </w:r>
          </w:p>
          <w:p w14:paraId="64A0B3BC" w14:textId="77777777" w:rsidR="004C4AD5" w:rsidRDefault="004C4AD5" w:rsidP="00D5423D">
            <w:pPr>
              <w:pStyle w:val="ListBullet"/>
              <w:numPr>
                <w:ilvl w:val="0"/>
                <w:numId w:val="0"/>
              </w:numPr>
              <w:spacing w:line="288" w:lineRule="auto"/>
              <w:ind w:left="32"/>
              <w:rPr>
                <w:rFonts w:ascii="Book Antiqua" w:hAnsi="Book Antiqua" w:cs="Book Antiqua"/>
                <w:sz w:val="22"/>
                <w:szCs w:val="22"/>
                <w:lang w:val="en-CA" w:eastAsia="en-CA"/>
              </w:rPr>
            </w:pPr>
            <w:r w:rsidRPr="00481BC6">
              <w:rPr>
                <w:rFonts w:ascii="Book Antiqua" w:hAnsi="Book Antiqua" w:cs="Book Antiqua"/>
                <w:sz w:val="22"/>
                <w:szCs w:val="22"/>
                <w:lang w:val="en-CA" w:eastAsia="en-CA"/>
              </w:rPr>
              <w:t xml:space="preserve">– if started in college but did not complete </w:t>
            </w:r>
            <w:r w:rsidRPr="00481BC6">
              <w:rPr>
                <w:rFonts w:ascii="Book Antiqua" w:hAnsi="Book Antiqua" w:cs="Book Antiqua"/>
                <w:b/>
                <w:bCs/>
                <w:sz w:val="22"/>
                <w:szCs w:val="22"/>
                <w:lang w:val="en-CA" w:eastAsia="en-CA"/>
              </w:rPr>
              <w:t xml:space="preserve">any </w:t>
            </w:r>
            <w:r w:rsidRPr="00481BC6">
              <w:rPr>
                <w:rFonts w:ascii="Book Antiqua" w:hAnsi="Book Antiqua" w:cs="Book Antiqua"/>
                <w:sz w:val="22"/>
                <w:szCs w:val="22"/>
                <w:lang w:val="en-CA" w:eastAsia="en-CA"/>
              </w:rPr>
              <w:t xml:space="preserve">courses, do </w:t>
            </w:r>
            <w:r w:rsidRPr="00481BC6">
              <w:rPr>
                <w:rFonts w:ascii="Book Antiqua" w:hAnsi="Book Antiqua" w:cs="Book Antiqua"/>
                <w:b/>
                <w:bCs/>
                <w:sz w:val="22"/>
                <w:szCs w:val="22"/>
                <w:lang w:val="en-CA" w:eastAsia="en-CA"/>
              </w:rPr>
              <w:t>not</w:t>
            </w:r>
            <w:r w:rsidRPr="00481BC6">
              <w:rPr>
                <w:rFonts w:ascii="Book Antiqua" w:hAnsi="Book Antiqua" w:cs="Book Antiqua"/>
                <w:sz w:val="22"/>
                <w:szCs w:val="22"/>
                <w:lang w:val="en-CA" w:eastAsia="en-CA"/>
              </w:rPr>
              <w:t xml:space="preserve"> enter “some college”</w:t>
            </w:r>
          </w:p>
          <w:p w14:paraId="041C1755" w14:textId="77777777" w:rsidR="004C4AD5" w:rsidRDefault="004C4AD5" w:rsidP="00D5423D">
            <w:pPr>
              <w:pStyle w:val="ListBullet"/>
              <w:numPr>
                <w:ilvl w:val="0"/>
                <w:numId w:val="0"/>
              </w:numPr>
              <w:spacing w:line="288" w:lineRule="auto"/>
              <w:ind w:left="32"/>
              <w:rPr>
                <w:b/>
                <w:bCs/>
                <w:color w:val="FF0000"/>
                <w:sz w:val="22"/>
                <w:szCs w:val="22"/>
              </w:rPr>
            </w:pPr>
          </w:p>
          <w:p w14:paraId="44B7B7CC" w14:textId="77777777" w:rsidR="004C4AD5" w:rsidRPr="007D247F" w:rsidRDefault="004C4AD5" w:rsidP="00D5423D">
            <w:pPr>
              <w:pStyle w:val="ListBullet"/>
              <w:numPr>
                <w:ilvl w:val="0"/>
                <w:numId w:val="0"/>
              </w:numPr>
              <w:spacing w:line="288" w:lineRule="auto"/>
              <w:ind w:left="32"/>
              <w:rPr>
                <w:rFonts w:ascii="Book Antiqua" w:hAnsi="Book Antiqua"/>
                <w:bCs/>
                <w:sz w:val="22"/>
                <w:szCs w:val="22"/>
              </w:rPr>
            </w:pPr>
            <w:r w:rsidRPr="007D247F">
              <w:rPr>
                <w:rFonts w:ascii="Book Antiqua" w:hAnsi="Book Antiqua"/>
                <w:bCs/>
                <w:sz w:val="22"/>
                <w:szCs w:val="22"/>
              </w:rPr>
              <w:lastRenderedPageBreak/>
              <w:t>Can also apply to “some apprenticeship” and “some university”.</w:t>
            </w:r>
          </w:p>
        </w:tc>
        <w:tc>
          <w:tcPr>
            <w:tcW w:w="718" w:type="pct"/>
          </w:tcPr>
          <w:p w14:paraId="5712F57C" w14:textId="77777777" w:rsidR="004C4AD5" w:rsidRPr="005155D8" w:rsidRDefault="004C4AD5" w:rsidP="00D5423D">
            <w:pPr>
              <w:spacing w:after="0" w:line="288" w:lineRule="auto"/>
              <w:rPr>
                <w:sz w:val="22"/>
                <w:szCs w:val="22"/>
              </w:rPr>
            </w:pPr>
            <w:r>
              <w:rPr>
                <w:sz w:val="22"/>
                <w:szCs w:val="22"/>
              </w:rPr>
              <w:lastRenderedPageBreak/>
              <w:t>Non-completion might be due to lack of literacy/essential skills needed to do the course.</w:t>
            </w:r>
          </w:p>
        </w:tc>
        <w:tc>
          <w:tcPr>
            <w:tcW w:w="573" w:type="pct"/>
          </w:tcPr>
          <w:p w14:paraId="0D6070DD" w14:textId="77777777" w:rsidR="004C4AD5" w:rsidRPr="005155D8" w:rsidRDefault="004C4AD5" w:rsidP="00D5423D">
            <w:pPr>
              <w:spacing w:after="0" w:line="288" w:lineRule="auto"/>
              <w:rPr>
                <w:b/>
                <w:bCs/>
                <w:sz w:val="22"/>
                <w:szCs w:val="22"/>
              </w:rPr>
            </w:pPr>
          </w:p>
        </w:tc>
      </w:tr>
      <w:tr w:rsidR="004C4AD5" w:rsidRPr="005155D8" w14:paraId="629AFC7C" w14:textId="77777777" w:rsidTr="001A56AA">
        <w:trPr>
          <w:trHeight w:val="1860"/>
          <w:jc w:val="center"/>
        </w:trPr>
        <w:tc>
          <w:tcPr>
            <w:tcW w:w="580" w:type="pct"/>
          </w:tcPr>
          <w:p w14:paraId="006200E6" w14:textId="77777777" w:rsidR="004C4AD5" w:rsidRDefault="004C4AD5" w:rsidP="005155D8">
            <w:pPr>
              <w:spacing w:after="0" w:line="288" w:lineRule="auto"/>
              <w:rPr>
                <w:b/>
                <w:sz w:val="24"/>
                <w:szCs w:val="24"/>
              </w:rPr>
            </w:pPr>
          </w:p>
          <w:p w14:paraId="0C175DB0" w14:textId="77777777" w:rsidR="004C4AD5" w:rsidRDefault="004C4AD5" w:rsidP="005155D8">
            <w:pPr>
              <w:spacing w:after="0" w:line="288" w:lineRule="auto"/>
              <w:rPr>
                <w:b/>
                <w:sz w:val="24"/>
                <w:szCs w:val="24"/>
              </w:rPr>
            </w:pPr>
            <w:bookmarkStart w:id="0" w:name="_GoBack"/>
            <w:r>
              <w:rPr>
                <w:b/>
                <w:sz w:val="24"/>
                <w:szCs w:val="24"/>
              </w:rPr>
              <w:t>Source of income</w:t>
            </w:r>
          </w:p>
          <w:p w14:paraId="7771D5AB" w14:textId="77777777" w:rsidR="004C4AD5" w:rsidRPr="00BC1989" w:rsidRDefault="004C4AD5" w:rsidP="005155D8">
            <w:pPr>
              <w:spacing w:after="0" w:line="288" w:lineRule="auto"/>
              <w:rPr>
                <w:b/>
                <w:sz w:val="24"/>
                <w:szCs w:val="24"/>
              </w:rPr>
            </w:pPr>
            <w:r w:rsidRPr="00BC1989">
              <w:rPr>
                <w:b/>
                <w:sz w:val="24"/>
                <w:szCs w:val="24"/>
              </w:rPr>
              <w:t xml:space="preserve">– </w:t>
            </w:r>
            <w:r w:rsidRPr="00BC1989">
              <w:rPr>
                <w:b/>
                <w:bCs/>
                <w:sz w:val="24"/>
                <w:szCs w:val="24"/>
              </w:rPr>
              <w:t>Other</w:t>
            </w:r>
          </w:p>
          <w:p w14:paraId="651EEBD1" w14:textId="77777777" w:rsidR="004C4AD5" w:rsidRPr="00BC1989" w:rsidRDefault="004C4AD5" w:rsidP="00BC1989">
            <w:pPr>
              <w:spacing w:before="120" w:after="120" w:line="288" w:lineRule="auto"/>
              <w:rPr>
                <w:b/>
                <w:sz w:val="24"/>
                <w:szCs w:val="24"/>
              </w:rPr>
            </w:pPr>
            <w:r w:rsidRPr="00BC1989">
              <w:rPr>
                <w:b/>
                <w:sz w:val="24"/>
                <w:szCs w:val="24"/>
              </w:rPr>
              <w:t>vs.</w:t>
            </w:r>
          </w:p>
          <w:p w14:paraId="6E49A3F0" w14:textId="77777777" w:rsidR="004C4AD5" w:rsidRPr="005155D8" w:rsidRDefault="004C4AD5" w:rsidP="005155D8">
            <w:pPr>
              <w:spacing w:after="0" w:line="288" w:lineRule="auto"/>
              <w:rPr>
                <w:sz w:val="22"/>
                <w:szCs w:val="22"/>
              </w:rPr>
            </w:pPr>
            <w:r w:rsidRPr="00BC1989">
              <w:rPr>
                <w:b/>
                <w:sz w:val="24"/>
                <w:szCs w:val="24"/>
              </w:rPr>
              <w:t xml:space="preserve">– </w:t>
            </w:r>
            <w:r w:rsidRPr="00BC1989">
              <w:rPr>
                <w:b/>
                <w:bCs/>
                <w:sz w:val="24"/>
                <w:szCs w:val="24"/>
              </w:rPr>
              <w:t>No Income</w:t>
            </w:r>
            <w:bookmarkEnd w:id="0"/>
          </w:p>
        </w:tc>
        <w:tc>
          <w:tcPr>
            <w:tcW w:w="712" w:type="pct"/>
          </w:tcPr>
          <w:p w14:paraId="1A23276D" w14:textId="77777777" w:rsidR="004C4AD5" w:rsidRPr="005155D8" w:rsidRDefault="004C4AD5" w:rsidP="005155D8">
            <w:pPr>
              <w:spacing w:after="0" w:line="288" w:lineRule="auto"/>
              <w:rPr>
                <w:sz w:val="22"/>
                <w:szCs w:val="22"/>
              </w:rPr>
            </w:pPr>
            <w:r w:rsidRPr="005155D8">
              <w:rPr>
                <w:sz w:val="22"/>
                <w:szCs w:val="22"/>
              </w:rPr>
              <w:t xml:space="preserve">The indicator </w:t>
            </w:r>
            <w:r>
              <w:rPr>
                <w:sz w:val="22"/>
                <w:szCs w:val="22"/>
              </w:rPr>
              <w:t>“</w:t>
            </w:r>
            <w:r w:rsidRPr="005155D8">
              <w:rPr>
                <w:sz w:val="22"/>
                <w:szCs w:val="22"/>
              </w:rPr>
              <w:t>Source of Income</w:t>
            </w:r>
            <w:r>
              <w:rPr>
                <w:sz w:val="22"/>
                <w:szCs w:val="22"/>
              </w:rPr>
              <w:t>” caused</w:t>
            </w:r>
            <w:r w:rsidRPr="005155D8">
              <w:rPr>
                <w:sz w:val="22"/>
                <w:szCs w:val="22"/>
              </w:rPr>
              <w:t xml:space="preserve"> a lot of confusion among learners and staff alike. </w:t>
            </w:r>
            <w:r>
              <w:rPr>
                <w:sz w:val="22"/>
                <w:szCs w:val="22"/>
              </w:rPr>
              <w:t xml:space="preserve"> </w:t>
            </w:r>
            <w:r w:rsidRPr="005155D8">
              <w:rPr>
                <w:sz w:val="22"/>
                <w:szCs w:val="22"/>
              </w:rPr>
              <w:t xml:space="preserve">In particular, the check box </w:t>
            </w:r>
            <w:r>
              <w:rPr>
                <w:sz w:val="22"/>
                <w:szCs w:val="22"/>
              </w:rPr>
              <w:t>“</w:t>
            </w:r>
            <w:r w:rsidRPr="005155D8">
              <w:rPr>
                <w:sz w:val="22"/>
                <w:szCs w:val="22"/>
              </w:rPr>
              <w:t>No Source of Income</w:t>
            </w:r>
            <w:r>
              <w:rPr>
                <w:sz w:val="22"/>
                <w:szCs w:val="22"/>
              </w:rPr>
              <w:t>”</w:t>
            </w:r>
            <w:r w:rsidRPr="005155D8">
              <w:rPr>
                <w:sz w:val="22"/>
                <w:szCs w:val="22"/>
              </w:rPr>
              <w:t xml:space="preserve">, found on the </w:t>
            </w:r>
            <w:r>
              <w:rPr>
                <w:sz w:val="22"/>
                <w:szCs w:val="22"/>
              </w:rPr>
              <w:t xml:space="preserve">paper </w:t>
            </w:r>
            <w:r w:rsidRPr="005155D8">
              <w:rPr>
                <w:sz w:val="22"/>
                <w:szCs w:val="22"/>
              </w:rPr>
              <w:t>registration form</w:t>
            </w:r>
            <w:r>
              <w:rPr>
                <w:sz w:val="22"/>
                <w:szCs w:val="22"/>
              </w:rPr>
              <w:t>,</w:t>
            </w:r>
            <w:r w:rsidRPr="005155D8">
              <w:rPr>
                <w:sz w:val="22"/>
                <w:szCs w:val="22"/>
              </w:rPr>
              <w:t xml:space="preserve"> often </w:t>
            </w:r>
            <w:r>
              <w:rPr>
                <w:sz w:val="22"/>
                <w:szCs w:val="22"/>
              </w:rPr>
              <w:t>went</w:t>
            </w:r>
            <w:r w:rsidRPr="005155D8">
              <w:rPr>
                <w:sz w:val="22"/>
                <w:szCs w:val="22"/>
              </w:rPr>
              <w:t xml:space="preserve"> unchecked even though learners subsequently indicate they are unemployed in another portion of the form.</w:t>
            </w:r>
          </w:p>
          <w:p w14:paraId="51AC302D" w14:textId="77777777" w:rsidR="004C4AD5" w:rsidRPr="005155D8" w:rsidRDefault="004C4AD5" w:rsidP="005155D8">
            <w:pPr>
              <w:spacing w:after="0" w:line="288" w:lineRule="auto"/>
              <w:rPr>
                <w:sz w:val="22"/>
                <w:szCs w:val="22"/>
              </w:rPr>
            </w:pPr>
          </w:p>
        </w:tc>
        <w:tc>
          <w:tcPr>
            <w:tcW w:w="652" w:type="pct"/>
          </w:tcPr>
          <w:p w14:paraId="55C1154C" w14:textId="77777777" w:rsidR="004C4AD5" w:rsidRPr="005155D8" w:rsidRDefault="004C4AD5" w:rsidP="005155D8">
            <w:pPr>
              <w:spacing w:after="0" w:line="288" w:lineRule="auto"/>
              <w:ind w:left="72"/>
              <w:rPr>
                <w:sz w:val="22"/>
                <w:szCs w:val="22"/>
              </w:rPr>
            </w:pPr>
            <w:r>
              <w:rPr>
                <w:sz w:val="22"/>
                <w:szCs w:val="22"/>
              </w:rPr>
              <w:t>Inconsistent – some SPs considering if the revenue is reportable on income tax, but others are not – unclear to SPs</w:t>
            </w:r>
          </w:p>
        </w:tc>
        <w:tc>
          <w:tcPr>
            <w:tcW w:w="882" w:type="pct"/>
          </w:tcPr>
          <w:p w14:paraId="6B5AF47A" w14:textId="77777777" w:rsidR="004C4AD5" w:rsidRDefault="004C4AD5" w:rsidP="005155D8">
            <w:pPr>
              <w:pStyle w:val="Default"/>
              <w:numPr>
                <w:ilvl w:val="0"/>
                <w:numId w:val="7"/>
              </w:numPr>
              <w:spacing w:line="288" w:lineRule="auto"/>
              <w:rPr>
                <w:rFonts w:ascii="Book Antiqua" w:hAnsi="Book Antiqua" w:cs="Book Antiqua"/>
                <w:sz w:val="22"/>
                <w:szCs w:val="22"/>
              </w:rPr>
            </w:pPr>
            <w:r w:rsidRPr="005155D8">
              <w:rPr>
                <w:rFonts w:ascii="Book Antiqua" w:hAnsi="Book Antiqua" w:cs="Book Antiqua"/>
                <w:sz w:val="22"/>
                <w:szCs w:val="22"/>
              </w:rPr>
              <w:t xml:space="preserve">Source of Income – “While some learners will have multiple sources of income, this question is asking for the main source of income, i.e. where they get the majority of their income.”  (EOIS-CaMS LBS Data Dictionary, January 2015) </w:t>
            </w:r>
          </w:p>
          <w:p w14:paraId="1B61CD6E" w14:textId="77777777" w:rsidR="004C4AD5" w:rsidRPr="005155D8" w:rsidRDefault="004C4AD5" w:rsidP="005155D8">
            <w:pPr>
              <w:pStyle w:val="Default"/>
              <w:spacing w:line="288" w:lineRule="auto"/>
              <w:ind w:left="170"/>
              <w:rPr>
                <w:rFonts w:ascii="Book Antiqua" w:hAnsi="Book Antiqua" w:cs="Book Antiqua"/>
                <w:sz w:val="22"/>
                <w:szCs w:val="22"/>
              </w:rPr>
            </w:pPr>
          </w:p>
          <w:p w14:paraId="1212B806" w14:textId="77777777" w:rsidR="004C4AD5" w:rsidRDefault="004C4AD5" w:rsidP="005155D8">
            <w:pPr>
              <w:pStyle w:val="Default"/>
              <w:numPr>
                <w:ilvl w:val="0"/>
                <w:numId w:val="7"/>
              </w:numPr>
              <w:spacing w:line="288" w:lineRule="auto"/>
              <w:rPr>
                <w:rFonts w:ascii="Book Antiqua" w:hAnsi="Book Antiqua" w:cs="Book Antiqua"/>
                <w:sz w:val="22"/>
                <w:szCs w:val="22"/>
              </w:rPr>
            </w:pPr>
            <w:r w:rsidRPr="005155D8">
              <w:rPr>
                <w:rFonts w:ascii="Book Antiqua" w:hAnsi="Book Antiqua" w:cs="Book Antiqua"/>
                <w:sz w:val="22"/>
                <w:szCs w:val="22"/>
              </w:rPr>
              <w:t>No source of income – no definition provided.</w:t>
            </w:r>
          </w:p>
          <w:p w14:paraId="732A8775" w14:textId="77777777" w:rsidR="004C4AD5" w:rsidRPr="005155D8" w:rsidRDefault="004C4AD5" w:rsidP="005155D8">
            <w:pPr>
              <w:pStyle w:val="Default"/>
              <w:spacing w:line="288" w:lineRule="auto"/>
              <w:rPr>
                <w:rFonts w:ascii="Book Antiqua" w:hAnsi="Book Antiqua" w:cs="Book Antiqua"/>
                <w:sz w:val="22"/>
                <w:szCs w:val="22"/>
              </w:rPr>
            </w:pPr>
          </w:p>
          <w:p w14:paraId="419B8612" w14:textId="77777777" w:rsidR="004C4AD5" w:rsidRPr="005155D8" w:rsidRDefault="004C4AD5" w:rsidP="005155D8">
            <w:pPr>
              <w:pStyle w:val="Default"/>
              <w:numPr>
                <w:ilvl w:val="0"/>
                <w:numId w:val="7"/>
              </w:numPr>
              <w:spacing w:line="288" w:lineRule="auto"/>
              <w:rPr>
                <w:rFonts w:ascii="Book Antiqua" w:hAnsi="Book Antiqua" w:cs="Book Antiqua"/>
                <w:sz w:val="22"/>
                <w:szCs w:val="22"/>
              </w:rPr>
            </w:pPr>
            <w:r w:rsidRPr="005155D8">
              <w:rPr>
                <w:rFonts w:ascii="Book Antiqua" w:hAnsi="Book Antiqua" w:cs="Book Antiqua"/>
                <w:sz w:val="22"/>
                <w:szCs w:val="22"/>
              </w:rPr>
              <w:t>Other – no definition provided</w:t>
            </w:r>
          </w:p>
          <w:p w14:paraId="0673300B" w14:textId="77777777" w:rsidR="004C4AD5" w:rsidRPr="005155D8" w:rsidRDefault="004C4AD5" w:rsidP="005155D8">
            <w:pPr>
              <w:spacing w:after="0" w:line="288" w:lineRule="auto"/>
              <w:ind w:left="72"/>
              <w:rPr>
                <w:b/>
                <w:bCs/>
                <w:sz w:val="22"/>
                <w:szCs w:val="22"/>
              </w:rPr>
            </w:pPr>
          </w:p>
        </w:tc>
        <w:tc>
          <w:tcPr>
            <w:tcW w:w="883" w:type="pct"/>
          </w:tcPr>
          <w:p w14:paraId="0C06BEC3" w14:textId="77777777" w:rsidR="004C4AD5" w:rsidRPr="005155D8" w:rsidRDefault="004C4AD5" w:rsidP="00CA1451">
            <w:pPr>
              <w:spacing w:after="0" w:line="288" w:lineRule="auto"/>
              <w:rPr>
                <w:sz w:val="22"/>
                <w:szCs w:val="22"/>
                <w:lang w:eastAsia="en-US"/>
              </w:rPr>
            </w:pPr>
            <w:r w:rsidRPr="005155D8">
              <w:rPr>
                <w:b/>
                <w:bCs/>
                <w:sz w:val="22"/>
                <w:szCs w:val="22"/>
              </w:rPr>
              <w:t xml:space="preserve">Other </w:t>
            </w:r>
            <w:r w:rsidRPr="005155D8">
              <w:rPr>
                <w:sz w:val="22"/>
                <w:szCs w:val="22"/>
                <w:lang w:eastAsia="en-US"/>
              </w:rPr>
              <w:t>means person receives cheque/payment in their own name - can include pension, investment income, etc.</w:t>
            </w:r>
          </w:p>
          <w:p w14:paraId="79D0EB1F" w14:textId="77777777" w:rsidR="004C4AD5" w:rsidRPr="005155D8" w:rsidRDefault="004C4AD5" w:rsidP="005155D8">
            <w:pPr>
              <w:spacing w:after="0" w:line="288" w:lineRule="auto"/>
              <w:ind w:left="72"/>
              <w:rPr>
                <w:b/>
                <w:bCs/>
                <w:sz w:val="22"/>
                <w:szCs w:val="22"/>
              </w:rPr>
            </w:pPr>
          </w:p>
          <w:p w14:paraId="5ED8EB83" w14:textId="77777777" w:rsidR="004C4AD5" w:rsidRPr="005155D8" w:rsidRDefault="004C4AD5" w:rsidP="005155D8">
            <w:pPr>
              <w:spacing w:after="0" w:line="288" w:lineRule="auto"/>
              <w:ind w:left="72"/>
              <w:rPr>
                <w:sz w:val="22"/>
                <w:szCs w:val="22"/>
                <w:lang w:eastAsia="en-US"/>
              </w:rPr>
            </w:pPr>
            <w:r>
              <w:rPr>
                <w:b/>
                <w:bCs/>
                <w:sz w:val="22"/>
                <w:szCs w:val="22"/>
              </w:rPr>
              <w:t>No</w:t>
            </w:r>
            <w:r w:rsidRPr="005155D8">
              <w:rPr>
                <w:b/>
                <w:bCs/>
                <w:sz w:val="22"/>
                <w:szCs w:val="22"/>
              </w:rPr>
              <w:t xml:space="preserve"> Source </w:t>
            </w:r>
            <w:r w:rsidRPr="005155D8">
              <w:rPr>
                <w:sz w:val="22"/>
                <w:szCs w:val="22"/>
                <w:lang w:eastAsia="en-US"/>
              </w:rPr>
              <w:t xml:space="preserve">means supported by family, friends, savings, etc. - also includes </w:t>
            </w:r>
            <w:r>
              <w:rPr>
                <w:sz w:val="22"/>
                <w:szCs w:val="22"/>
                <w:lang w:eastAsia="en-US"/>
              </w:rPr>
              <w:t xml:space="preserve">homeless people and </w:t>
            </w:r>
            <w:r w:rsidRPr="005155D8">
              <w:rPr>
                <w:sz w:val="22"/>
                <w:szCs w:val="22"/>
                <w:lang w:eastAsia="en-US"/>
              </w:rPr>
              <w:t>inmates at CNCC in Penetanguishene</w:t>
            </w:r>
          </w:p>
          <w:p w14:paraId="42CFE61E" w14:textId="77777777" w:rsidR="004C4AD5" w:rsidRPr="005155D8" w:rsidRDefault="004C4AD5" w:rsidP="005155D8">
            <w:pPr>
              <w:spacing w:after="0" w:line="288" w:lineRule="auto"/>
              <w:ind w:left="72"/>
              <w:rPr>
                <w:b/>
                <w:bCs/>
                <w:sz w:val="22"/>
                <w:szCs w:val="22"/>
              </w:rPr>
            </w:pPr>
          </w:p>
          <w:p w14:paraId="3CBBEB75" w14:textId="77777777" w:rsidR="004C4AD5" w:rsidRPr="000D2709" w:rsidRDefault="004C4AD5" w:rsidP="000B3C05">
            <w:pPr>
              <w:spacing w:after="0" w:line="288" w:lineRule="auto"/>
              <w:rPr>
                <w:b/>
                <w:bCs/>
                <w:sz w:val="22"/>
                <w:szCs w:val="22"/>
              </w:rPr>
            </w:pPr>
            <w:r w:rsidRPr="005155D8">
              <w:rPr>
                <w:sz w:val="22"/>
                <w:szCs w:val="22"/>
              </w:rPr>
              <w:t xml:space="preserve">Where does “severance” fit?  Severance cheque was issued to the person, but once in bank account, it is technically savings.  </w:t>
            </w:r>
            <w:r w:rsidRPr="005155D8">
              <w:rPr>
                <w:b/>
                <w:bCs/>
                <w:sz w:val="22"/>
                <w:szCs w:val="22"/>
              </w:rPr>
              <w:t>For the purposes of our stats collection chart, we suggest you add this in with “other” on our templates.</w:t>
            </w:r>
          </w:p>
          <w:p w14:paraId="1044CA30" w14:textId="77777777" w:rsidR="004C4AD5" w:rsidRPr="00367A19" w:rsidRDefault="004C4AD5" w:rsidP="00295C12">
            <w:pPr>
              <w:pStyle w:val="Default"/>
              <w:spacing w:line="288" w:lineRule="auto"/>
              <w:rPr>
                <w:rFonts w:cs="Times New Roman"/>
                <w:sz w:val="12"/>
                <w:szCs w:val="12"/>
              </w:rPr>
            </w:pPr>
          </w:p>
        </w:tc>
        <w:tc>
          <w:tcPr>
            <w:tcW w:w="718" w:type="pct"/>
          </w:tcPr>
          <w:p w14:paraId="3A0D4F61" w14:textId="77777777" w:rsidR="004C4AD5" w:rsidRPr="005155D8" w:rsidRDefault="004C4AD5" w:rsidP="005155D8">
            <w:pPr>
              <w:pStyle w:val="Default"/>
              <w:spacing w:line="288" w:lineRule="auto"/>
              <w:rPr>
                <w:rFonts w:ascii="Book Antiqua" w:hAnsi="Book Antiqua" w:cs="Book Antiqua"/>
                <w:sz w:val="22"/>
                <w:szCs w:val="22"/>
              </w:rPr>
            </w:pPr>
            <w:r w:rsidRPr="005155D8">
              <w:rPr>
                <w:rFonts w:ascii="Book Antiqua" w:hAnsi="Book Antiqua" w:cs="Book Antiqua"/>
                <w:sz w:val="22"/>
                <w:szCs w:val="22"/>
              </w:rPr>
              <w:t xml:space="preserve">The key point is income </w:t>
            </w:r>
            <w:r>
              <w:rPr>
                <w:rFonts w:ascii="Book Antiqua" w:hAnsi="Book Antiqua" w:cs="Book Antiqua"/>
                <w:sz w:val="22"/>
                <w:szCs w:val="22"/>
              </w:rPr>
              <w:t xml:space="preserve">is </w:t>
            </w:r>
            <w:r w:rsidRPr="005155D8">
              <w:rPr>
                <w:rFonts w:ascii="Book Antiqua" w:hAnsi="Book Antiqua" w:cs="Book Antiqua"/>
                <w:sz w:val="22"/>
                <w:szCs w:val="22"/>
              </w:rPr>
              <w:t xml:space="preserve">considered taxable by the Income Tax Act </w:t>
            </w:r>
          </w:p>
          <w:p w14:paraId="2BAB2211" w14:textId="77777777" w:rsidR="004C4AD5" w:rsidRDefault="004C4AD5" w:rsidP="005155D8">
            <w:pPr>
              <w:pStyle w:val="Default"/>
              <w:spacing w:line="288" w:lineRule="auto"/>
              <w:rPr>
                <w:rFonts w:ascii="Book Antiqua" w:hAnsi="Book Antiqua" w:cs="Book Antiqua"/>
                <w:sz w:val="22"/>
                <w:szCs w:val="22"/>
              </w:rPr>
            </w:pPr>
          </w:p>
          <w:p w14:paraId="5F46BA3E" w14:textId="77777777" w:rsidR="004C4AD5" w:rsidRPr="005155D8" w:rsidRDefault="004C4AD5" w:rsidP="00F3572A">
            <w:pPr>
              <w:pStyle w:val="Default"/>
              <w:spacing w:line="288" w:lineRule="auto"/>
              <w:rPr>
                <w:rFonts w:ascii="Book Antiqua" w:hAnsi="Book Antiqua" w:cs="Book Antiqua"/>
                <w:sz w:val="22"/>
                <w:szCs w:val="22"/>
              </w:rPr>
            </w:pPr>
            <w:r w:rsidRPr="005155D8">
              <w:rPr>
                <w:rFonts w:ascii="Book Antiqua" w:hAnsi="Book Antiqua" w:cs="Book Antiqua"/>
                <w:sz w:val="22"/>
                <w:szCs w:val="22"/>
              </w:rPr>
              <w:t>Sources of income not included in this definition include gifts, inheritance, some types of insurance payments or under the general care of family or friends.</w:t>
            </w:r>
            <w:r>
              <w:rPr>
                <w:rFonts w:ascii="Book Antiqua" w:hAnsi="Book Antiqua" w:cs="Book Antiqua"/>
                <w:sz w:val="22"/>
                <w:szCs w:val="22"/>
              </w:rPr>
              <w:t xml:space="preserve"> </w:t>
            </w:r>
          </w:p>
          <w:p w14:paraId="3763D515" w14:textId="77777777" w:rsidR="004C4AD5" w:rsidRPr="005155D8" w:rsidRDefault="004C4AD5" w:rsidP="005155D8">
            <w:pPr>
              <w:pStyle w:val="Default"/>
              <w:spacing w:line="288" w:lineRule="auto"/>
              <w:rPr>
                <w:rFonts w:ascii="Book Antiqua" w:hAnsi="Book Antiqua" w:cs="Book Antiqua"/>
                <w:sz w:val="22"/>
                <w:szCs w:val="22"/>
              </w:rPr>
            </w:pPr>
          </w:p>
          <w:p w14:paraId="0BF26A70" w14:textId="77777777" w:rsidR="004C4AD5" w:rsidRDefault="004C4AD5" w:rsidP="005155D8">
            <w:pPr>
              <w:pStyle w:val="Default"/>
              <w:spacing w:line="288" w:lineRule="auto"/>
              <w:rPr>
                <w:rFonts w:ascii="Book Antiqua" w:hAnsi="Book Antiqua" w:cs="Book Antiqua"/>
                <w:sz w:val="22"/>
                <w:szCs w:val="22"/>
              </w:rPr>
            </w:pPr>
          </w:p>
          <w:p w14:paraId="6DE9FC10" w14:textId="77777777" w:rsidR="004C4AD5" w:rsidRPr="005155D8" w:rsidRDefault="004C4AD5" w:rsidP="005155D8">
            <w:pPr>
              <w:pStyle w:val="Default"/>
              <w:spacing w:line="288" w:lineRule="auto"/>
              <w:rPr>
                <w:rFonts w:ascii="Book Antiqua" w:hAnsi="Book Antiqua" w:cs="Book Antiqua"/>
                <w:sz w:val="22"/>
                <w:szCs w:val="22"/>
              </w:rPr>
            </w:pPr>
          </w:p>
          <w:p w14:paraId="4477E68D" w14:textId="77777777" w:rsidR="004C4AD5" w:rsidRPr="005155D8" w:rsidRDefault="004C4AD5" w:rsidP="005155D8">
            <w:pPr>
              <w:spacing w:after="0" w:line="288" w:lineRule="auto"/>
              <w:rPr>
                <w:sz w:val="22"/>
                <w:szCs w:val="22"/>
              </w:rPr>
            </w:pPr>
          </w:p>
        </w:tc>
        <w:tc>
          <w:tcPr>
            <w:tcW w:w="573" w:type="pct"/>
          </w:tcPr>
          <w:p w14:paraId="46D48910" w14:textId="77777777" w:rsidR="004C4AD5" w:rsidRPr="005155D8" w:rsidRDefault="004C4AD5" w:rsidP="009E064B">
            <w:pPr>
              <w:pStyle w:val="Default"/>
              <w:spacing w:line="288" w:lineRule="auto"/>
              <w:rPr>
                <w:b/>
                <w:bCs/>
                <w:sz w:val="22"/>
                <w:szCs w:val="22"/>
              </w:rPr>
            </w:pPr>
          </w:p>
        </w:tc>
      </w:tr>
      <w:tr w:rsidR="004C4AD5" w:rsidRPr="005155D8" w14:paraId="5A7BBC2B" w14:textId="77777777" w:rsidTr="001A56AA">
        <w:trPr>
          <w:trHeight w:val="584"/>
          <w:jc w:val="center"/>
        </w:trPr>
        <w:tc>
          <w:tcPr>
            <w:tcW w:w="580" w:type="pct"/>
          </w:tcPr>
          <w:p w14:paraId="6ED4FA6F" w14:textId="00779B4F" w:rsidR="004C4AD5" w:rsidRPr="00983FFD" w:rsidRDefault="004C4AD5" w:rsidP="00E203F3">
            <w:pPr>
              <w:spacing w:after="0" w:line="288" w:lineRule="auto"/>
              <w:rPr>
                <w:b/>
                <w:sz w:val="24"/>
                <w:szCs w:val="24"/>
              </w:rPr>
            </w:pPr>
            <w:r>
              <w:rPr>
                <w:b/>
                <w:sz w:val="24"/>
                <w:szCs w:val="24"/>
              </w:rPr>
              <w:t>T</w:t>
            </w:r>
            <w:r w:rsidRPr="002911CF">
              <w:rPr>
                <w:b/>
                <w:sz w:val="24"/>
                <w:szCs w:val="24"/>
              </w:rPr>
              <w:t>ime out of training</w:t>
            </w:r>
            <w:r>
              <w:rPr>
                <w:b/>
                <w:sz w:val="24"/>
                <w:szCs w:val="24"/>
              </w:rPr>
              <w:t xml:space="preserve">: </w:t>
            </w:r>
            <w:r w:rsidRPr="002911CF">
              <w:rPr>
                <w:b/>
                <w:sz w:val="24"/>
                <w:szCs w:val="24"/>
              </w:rPr>
              <w:t xml:space="preserve">&gt;6 years out of training is </w:t>
            </w:r>
            <w:r w:rsidRPr="002911CF">
              <w:rPr>
                <w:b/>
                <w:sz w:val="24"/>
                <w:szCs w:val="24"/>
              </w:rPr>
              <w:lastRenderedPageBreak/>
              <w:t>a suitability factor</w:t>
            </w:r>
          </w:p>
        </w:tc>
        <w:tc>
          <w:tcPr>
            <w:tcW w:w="712" w:type="pct"/>
          </w:tcPr>
          <w:p w14:paraId="7B9868E9" w14:textId="77777777" w:rsidR="004C4AD5" w:rsidRPr="005155D8" w:rsidRDefault="004C4AD5" w:rsidP="00491D47">
            <w:pPr>
              <w:spacing w:after="0" w:line="288" w:lineRule="auto"/>
              <w:rPr>
                <w:sz w:val="22"/>
                <w:szCs w:val="22"/>
              </w:rPr>
            </w:pPr>
            <w:r w:rsidRPr="005155D8">
              <w:rPr>
                <w:sz w:val="22"/>
                <w:szCs w:val="22"/>
              </w:rPr>
              <w:lastRenderedPageBreak/>
              <w:t>Service providers wer</w:t>
            </w:r>
            <w:r>
              <w:rPr>
                <w:sz w:val="22"/>
                <w:szCs w:val="22"/>
              </w:rPr>
              <w:t>e unsure if there were</w:t>
            </w:r>
            <w:r w:rsidRPr="005155D8">
              <w:rPr>
                <w:sz w:val="22"/>
                <w:szCs w:val="22"/>
              </w:rPr>
              <w:t xml:space="preserve"> criteria </w:t>
            </w:r>
            <w:r>
              <w:rPr>
                <w:sz w:val="22"/>
                <w:szCs w:val="22"/>
              </w:rPr>
              <w:t>for</w:t>
            </w:r>
            <w:r w:rsidRPr="005155D8">
              <w:rPr>
                <w:sz w:val="22"/>
                <w:szCs w:val="22"/>
              </w:rPr>
              <w:t xml:space="preserve"> the type of </w:t>
            </w:r>
            <w:r w:rsidRPr="005155D8">
              <w:rPr>
                <w:sz w:val="22"/>
                <w:szCs w:val="22"/>
              </w:rPr>
              <w:lastRenderedPageBreak/>
              <w:t>training or the length of training</w:t>
            </w:r>
            <w:r>
              <w:rPr>
                <w:sz w:val="22"/>
                <w:szCs w:val="22"/>
              </w:rPr>
              <w:t>.</w:t>
            </w:r>
          </w:p>
        </w:tc>
        <w:tc>
          <w:tcPr>
            <w:tcW w:w="652" w:type="pct"/>
          </w:tcPr>
          <w:p w14:paraId="20FDA4C3" w14:textId="77777777" w:rsidR="004C4AD5" w:rsidRDefault="004C4AD5" w:rsidP="00491D47">
            <w:pPr>
              <w:spacing w:after="0" w:line="288" w:lineRule="auto"/>
              <w:ind w:left="72"/>
              <w:rPr>
                <w:sz w:val="22"/>
                <w:szCs w:val="22"/>
              </w:rPr>
            </w:pPr>
            <w:r w:rsidRPr="005155D8">
              <w:rPr>
                <w:sz w:val="22"/>
                <w:szCs w:val="22"/>
              </w:rPr>
              <w:lastRenderedPageBreak/>
              <w:t>S</w:t>
            </w:r>
            <w:r>
              <w:rPr>
                <w:sz w:val="22"/>
                <w:szCs w:val="22"/>
              </w:rPr>
              <w:t>ome Service P</w:t>
            </w:r>
            <w:r w:rsidRPr="005155D8">
              <w:rPr>
                <w:sz w:val="22"/>
                <w:szCs w:val="22"/>
              </w:rPr>
              <w:t xml:space="preserve">roviders record </w:t>
            </w:r>
            <w:r>
              <w:rPr>
                <w:sz w:val="22"/>
                <w:szCs w:val="22"/>
              </w:rPr>
              <w:t xml:space="preserve">as recent training </w:t>
            </w:r>
            <w:r w:rsidRPr="005155D8">
              <w:rPr>
                <w:sz w:val="22"/>
                <w:szCs w:val="22"/>
              </w:rPr>
              <w:t xml:space="preserve">if learners say they </w:t>
            </w:r>
            <w:r w:rsidRPr="005155D8">
              <w:rPr>
                <w:sz w:val="22"/>
                <w:szCs w:val="22"/>
              </w:rPr>
              <w:lastRenderedPageBreak/>
              <w:t xml:space="preserve">took </w:t>
            </w:r>
            <w:r w:rsidRPr="005155D8">
              <w:rPr>
                <w:b/>
                <w:bCs/>
                <w:sz w:val="22"/>
                <w:szCs w:val="22"/>
              </w:rPr>
              <w:t xml:space="preserve">any </w:t>
            </w:r>
            <w:r w:rsidRPr="005155D8">
              <w:rPr>
                <w:sz w:val="22"/>
                <w:szCs w:val="22"/>
              </w:rPr>
              <w:t>type of training</w:t>
            </w:r>
            <w:r>
              <w:rPr>
                <w:sz w:val="22"/>
                <w:szCs w:val="22"/>
              </w:rPr>
              <w:t xml:space="preserve">, regardless of duration of training -- </w:t>
            </w:r>
            <w:r w:rsidRPr="005155D8">
              <w:rPr>
                <w:sz w:val="22"/>
                <w:szCs w:val="22"/>
              </w:rPr>
              <w:t>even short-term or on</w:t>
            </w:r>
            <w:r>
              <w:rPr>
                <w:sz w:val="22"/>
                <w:szCs w:val="22"/>
              </w:rPr>
              <w:t>e</w:t>
            </w:r>
            <w:r w:rsidRPr="005155D8">
              <w:rPr>
                <w:sz w:val="22"/>
                <w:szCs w:val="22"/>
              </w:rPr>
              <w:t xml:space="preserve">-day workshops as “training”.  </w:t>
            </w:r>
          </w:p>
          <w:p w14:paraId="3DA698E4" w14:textId="77777777" w:rsidR="004C4AD5" w:rsidRPr="005155D8" w:rsidRDefault="004C4AD5" w:rsidP="00491D47">
            <w:pPr>
              <w:spacing w:after="0" w:line="288" w:lineRule="auto"/>
              <w:ind w:left="72"/>
              <w:rPr>
                <w:sz w:val="22"/>
                <w:szCs w:val="22"/>
              </w:rPr>
            </w:pPr>
            <w:r>
              <w:rPr>
                <w:sz w:val="22"/>
                <w:szCs w:val="22"/>
              </w:rPr>
              <w:t>Therefore, would not record this suitability factor for this learner.</w:t>
            </w:r>
          </w:p>
          <w:p w14:paraId="3B444AAE" w14:textId="77777777" w:rsidR="004C4AD5" w:rsidRPr="005155D8" w:rsidRDefault="004C4AD5" w:rsidP="00D5423D">
            <w:pPr>
              <w:spacing w:after="0" w:line="288" w:lineRule="auto"/>
              <w:ind w:left="72"/>
              <w:rPr>
                <w:sz w:val="22"/>
                <w:szCs w:val="22"/>
              </w:rPr>
            </w:pPr>
          </w:p>
          <w:p w14:paraId="45F1C59C" w14:textId="52A7E825" w:rsidR="004C4AD5" w:rsidRPr="005155D8" w:rsidRDefault="004C4AD5" w:rsidP="00491D47">
            <w:pPr>
              <w:spacing w:after="0" w:line="288" w:lineRule="auto"/>
              <w:ind w:left="72"/>
              <w:rPr>
                <w:b/>
                <w:bCs/>
                <w:sz w:val="22"/>
                <w:szCs w:val="22"/>
              </w:rPr>
            </w:pPr>
            <w:r w:rsidRPr="005155D8">
              <w:rPr>
                <w:sz w:val="22"/>
                <w:szCs w:val="22"/>
              </w:rPr>
              <w:t xml:space="preserve">Some providers define it as a longer-term full course, like PSW or truck driving, etc. </w:t>
            </w:r>
            <w:r>
              <w:rPr>
                <w:sz w:val="22"/>
                <w:szCs w:val="22"/>
              </w:rPr>
              <w:t xml:space="preserve">  Anything less would not count, so this suitability factor would be recorded</w:t>
            </w:r>
            <w:r w:rsidR="00991543">
              <w:rPr>
                <w:sz w:val="22"/>
                <w:szCs w:val="22"/>
              </w:rPr>
              <w:t xml:space="preserve"> by the service provider.</w:t>
            </w:r>
            <w:r>
              <w:rPr>
                <w:sz w:val="22"/>
                <w:szCs w:val="22"/>
              </w:rPr>
              <w:t>.</w:t>
            </w:r>
          </w:p>
          <w:p w14:paraId="6736C7B0" w14:textId="77777777" w:rsidR="004C4AD5" w:rsidRPr="005155D8" w:rsidRDefault="004C4AD5" w:rsidP="00D5423D">
            <w:pPr>
              <w:spacing w:after="0" w:line="288" w:lineRule="auto"/>
              <w:ind w:left="72"/>
              <w:rPr>
                <w:b/>
                <w:bCs/>
                <w:sz w:val="22"/>
                <w:szCs w:val="22"/>
              </w:rPr>
            </w:pPr>
          </w:p>
        </w:tc>
        <w:tc>
          <w:tcPr>
            <w:tcW w:w="882" w:type="pct"/>
          </w:tcPr>
          <w:p w14:paraId="3B9798DC" w14:textId="77777777" w:rsidR="004C4AD5" w:rsidRDefault="004C4AD5" w:rsidP="00D5423D">
            <w:pPr>
              <w:spacing w:after="0" w:line="288" w:lineRule="auto"/>
              <w:ind w:left="72"/>
              <w:rPr>
                <w:sz w:val="22"/>
                <w:szCs w:val="22"/>
              </w:rPr>
            </w:pPr>
            <w:r w:rsidRPr="003A1865">
              <w:rPr>
                <w:sz w:val="22"/>
                <w:szCs w:val="22"/>
              </w:rPr>
              <w:lastRenderedPageBreak/>
              <w:t>2015 Data Dictionary</w:t>
            </w:r>
            <w:r>
              <w:rPr>
                <w:sz w:val="22"/>
                <w:szCs w:val="22"/>
              </w:rPr>
              <w:t>:</w:t>
            </w:r>
          </w:p>
          <w:p w14:paraId="41CFF54E" w14:textId="77777777" w:rsidR="004C4AD5" w:rsidRDefault="004C4AD5" w:rsidP="00D5423D">
            <w:pPr>
              <w:spacing w:after="0" w:line="288" w:lineRule="auto"/>
              <w:ind w:left="72"/>
              <w:rPr>
                <w:sz w:val="22"/>
                <w:szCs w:val="22"/>
              </w:rPr>
            </w:pPr>
            <w:r>
              <w:rPr>
                <w:sz w:val="22"/>
                <w:szCs w:val="22"/>
              </w:rPr>
              <w:t>Training – no definition</w:t>
            </w:r>
          </w:p>
          <w:p w14:paraId="620292D1" w14:textId="77777777" w:rsidR="004C4AD5" w:rsidRDefault="004C4AD5" w:rsidP="00D5423D">
            <w:pPr>
              <w:spacing w:after="0" w:line="288" w:lineRule="auto"/>
              <w:ind w:left="72"/>
              <w:rPr>
                <w:b/>
                <w:bCs/>
                <w:sz w:val="22"/>
                <w:szCs w:val="22"/>
              </w:rPr>
            </w:pPr>
            <w:r>
              <w:rPr>
                <w:sz w:val="22"/>
                <w:szCs w:val="22"/>
              </w:rPr>
              <w:t>Formal education – no definition</w:t>
            </w:r>
          </w:p>
          <w:p w14:paraId="17C741D5" w14:textId="77777777" w:rsidR="004C4AD5" w:rsidRDefault="004C4AD5" w:rsidP="00D5423D">
            <w:pPr>
              <w:spacing w:after="0" w:line="288" w:lineRule="auto"/>
              <w:ind w:left="72"/>
              <w:rPr>
                <w:b/>
                <w:bCs/>
                <w:sz w:val="22"/>
                <w:szCs w:val="22"/>
              </w:rPr>
            </w:pPr>
          </w:p>
          <w:p w14:paraId="52353D0D" w14:textId="77777777" w:rsidR="004C4AD5" w:rsidRPr="00F6093D" w:rsidRDefault="004C4AD5" w:rsidP="00D5423D">
            <w:pPr>
              <w:spacing w:after="0" w:line="288" w:lineRule="auto"/>
              <w:ind w:left="72"/>
              <w:rPr>
                <w:sz w:val="22"/>
                <w:szCs w:val="22"/>
              </w:rPr>
            </w:pPr>
            <w:r>
              <w:rPr>
                <w:b/>
                <w:bCs/>
                <w:sz w:val="22"/>
                <w:szCs w:val="22"/>
              </w:rPr>
              <w:t xml:space="preserve">Western Region </w:t>
            </w:r>
            <w:r w:rsidRPr="005155D8">
              <w:rPr>
                <w:b/>
                <w:bCs/>
                <w:sz w:val="22"/>
                <w:szCs w:val="22"/>
              </w:rPr>
              <w:t>TCU Response (QUILL</w:t>
            </w:r>
            <w:r>
              <w:rPr>
                <w:b/>
                <w:bCs/>
                <w:sz w:val="22"/>
                <w:szCs w:val="22"/>
              </w:rPr>
              <w:t xml:space="preserve"> Network</w:t>
            </w:r>
            <w:r w:rsidRPr="005155D8">
              <w:rPr>
                <w:b/>
                <w:bCs/>
                <w:sz w:val="22"/>
                <w:szCs w:val="22"/>
              </w:rPr>
              <w:t>):</w:t>
            </w:r>
            <w:r w:rsidRPr="005155D8">
              <w:rPr>
                <w:sz w:val="22"/>
                <w:szCs w:val="22"/>
              </w:rPr>
              <w:t>  Currently there is a definition in the data dictionary for the suitability indicator ‘time out of training’.  The definition states that “Suitability / Learner Profile Indicator (Phase II) - More than 6 years out of training”.   There is no written definition of “how long the training should be”, however, confirming that training can be of any length.</w:t>
            </w:r>
            <w:r w:rsidRPr="005155D8">
              <w:rPr>
                <w:rFonts w:ascii="PMingLiU" w:eastAsia="PMingLiU" w:hAnsi="PMingLiU" w:cs="PMingLiU"/>
                <w:sz w:val="22"/>
                <w:szCs w:val="22"/>
              </w:rPr>
              <w:br/>
            </w:r>
            <w:r w:rsidRPr="005155D8">
              <w:rPr>
                <w:sz w:val="22"/>
                <w:szCs w:val="22"/>
              </w:rPr>
              <w:t xml:space="preserve">For additional information see: </w:t>
            </w:r>
            <w:r w:rsidRPr="005155D8">
              <w:rPr>
                <w:rFonts w:ascii="PMingLiU" w:eastAsia="PMingLiU" w:hAnsi="PMingLiU" w:cs="PMingLiU"/>
                <w:sz w:val="22"/>
                <w:szCs w:val="22"/>
              </w:rPr>
              <w:br/>
            </w:r>
            <w:hyperlink r:id="rId13" w:history="1">
              <w:r w:rsidRPr="005155D8">
                <w:rPr>
                  <w:sz w:val="22"/>
                  <w:szCs w:val="22"/>
                  <w:u w:val="single"/>
                </w:rPr>
                <w:t>http://www.tcu.gov.on.ca/eng/eopg/publications/eois_cams_lbs_data_dictionary.pdf</w:t>
              </w:r>
            </w:hyperlink>
          </w:p>
        </w:tc>
        <w:tc>
          <w:tcPr>
            <w:tcW w:w="883" w:type="pct"/>
          </w:tcPr>
          <w:p w14:paraId="5F741029" w14:textId="77777777" w:rsidR="004C4AD5" w:rsidRDefault="004C4AD5" w:rsidP="00D5423D">
            <w:pPr>
              <w:spacing w:after="0" w:line="288" w:lineRule="auto"/>
              <w:rPr>
                <w:b/>
                <w:bCs/>
                <w:sz w:val="22"/>
                <w:szCs w:val="22"/>
              </w:rPr>
            </w:pPr>
            <w:r>
              <w:rPr>
                <w:b/>
                <w:bCs/>
                <w:sz w:val="22"/>
                <w:szCs w:val="22"/>
              </w:rPr>
              <w:lastRenderedPageBreak/>
              <w:t>Agreement that to count, the training must have been completed.  (Nov. 2016)</w:t>
            </w:r>
          </w:p>
          <w:p w14:paraId="029CD914" w14:textId="77777777" w:rsidR="004C4AD5" w:rsidRDefault="004C4AD5" w:rsidP="00D5423D">
            <w:pPr>
              <w:spacing w:after="0" w:line="288" w:lineRule="auto"/>
              <w:rPr>
                <w:b/>
                <w:bCs/>
                <w:sz w:val="22"/>
                <w:szCs w:val="22"/>
              </w:rPr>
            </w:pPr>
          </w:p>
          <w:p w14:paraId="5640821F" w14:textId="77777777" w:rsidR="004C4AD5" w:rsidRPr="000726E6" w:rsidRDefault="004C4AD5" w:rsidP="000726E6">
            <w:pPr>
              <w:spacing w:after="0" w:line="288" w:lineRule="auto"/>
              <w:ind w:left="72"/>
              <w:rPr>
                <w:bCs/>
                <w:sz w:val="22"/>
                <w:szCs w:val="22"/>
              </w:rPr>
            </w:pPr>
            <w:r w:rsidRPr="000726E6">
              <w:rPr>
                <w:bCs/>
                <w:sz w:val="22"/>
                <w:szCs w:val="22"/>
              </w:rPr>
              <w:lastRenderedPageBreak/>
              <w:t>Still discussing length of training – no agreement on how long the training should be to count and therefore not</w:t>
            </w:r>
            <w:r>
              <w:rPr>
                <w:bCs/>
                <w:sz w:val="22"/>
                <w:szCs w:val="22"/>
              </w:rPr>
              <w:t xml:space="preserve"> be able to</w:t>
            </w:r>
            <w:r w:rsidRPr="000726E6">
              <w:rPr>
                <w:bCs/>
                <w:sz w:val="22"/>
                <w:szCs w:val="22"/>
              </w:rPr>
              <w:t xml:space="preserve"> record this suitability factor.</w:t>
            </w:r>
          </w:p>
          <w:p w14:paraId="03CCBF67" w14:textId="77777777" w:rsidR="004C4AD5" w:rsidRPr="000726E6" w:rsidRDefault="004C4AD5" w:rsidP="00D5423D">
            <w:pPr>
              <w:spacing w:after="0" w:line="288" w:lineRule="auto"/>
              <w:ind w:left="72"/>
              <w:rPr>
                <w:bCs/>
                <w:sz w:val="22"/>
                <w:szCs w:val="22"/>
              </w:rPr>
            </w:pPr>
          </w:p>
        </w:tc>
        <w:tc>
          <w:tcPr>
            <w:tcW w:w="718" w:type="pct"/>
          </w:tcPr>
          <w:p w14:paraId="60D77841" w14:textId="77777777" w:rsidR="004C4AD5" w:rsidRPr="000726E6" w:rsidRDefault="004C4AD5" w:rsidP="000726E6">
            <w:pPr>
              <w:spacing w:after="0" w:line="288" w:lineRule="auto"/>
              <w:rPr>
                <w:bCs/>
                <w:sz w:val="22"/>
                <w:szCs w:val="22"/>
              </w:rPr>
            </w:pPr>
            <w:r>
              <w:rPr>
                <w:bCs/>
                <w:sz w:val="22"/>
                <w:szCs w:val="22"/>
              </w:rPr>
              <w:lastRenderedPageBreak/>
              <w:t>Unsuccessful a</w:t>
            </w:r>
            <w:r w:rsidRPr="000726E6">
              <w:rPr>
                <w:bCs/>
                <w:sz w:val="22"/>
                <w:szCs w:val="22"/>
              </w:rPr>
              <w:t>ttempts</w:t>
            </w:r>
            <w:r>
              <w:rPr>
                <w:bCs/>
                <w:sz w:val="22"/>
                <w:szCs w:val="22"/>
              </w:rPr>
              <w:t xml:space="preserve"> could be due to lack of skills needed to complete.</w:t>
            </w:r>
          </w:p>
          <w:p w14:paraId="452D4B67" w14:textId="77777777" w:rsidR="004C4AD5" w:rsidRPr="005155D8" w:rsidRDefault="004C4AD5" w:rsidP="000726E6">
            <w:pPr>
              <w:spacing w:after="0" w:line="288" w:lineRule="auto"/>
              <w:rPr>
                <w:sz w:val="22"/>
                <w:szCs w:val="22"/>
              </w:rPr>
            </w:pPr>
          </w:p>
        </w:tc>
        <w:tc>
          <w:tcPr>
            <w:tcW w:w="573" w:type="pct"/>
          </w:tcPr>
          <w:p w14:paraId="75B27692" w14:textId="77777777" w:rsidR="004C4AD5" w:rsidRPr="005155D8" w:rsidRDefault="004C4AD5" w:rsidP="00D5423D">
            <w:pPr>
              <w:spacing w:after="0" w:line="288" w:lineRule="auto"/>
              <w:rPr>
                <w:b/>
                <w:bCs/>
                <w:sz w:val="22"/>
                <w:szCs w:val="22"/>
              </w:rPr>
            </w:pPr>
            <w:r w:rsidRPr="000726E6">
              <w:rPr>
                <w:bCs/>
                <w:sz w:val="22"/>
                <w:szCs w:val="22"/>
              </w:rPr>
              <w:lastRenderedPageBreak/>
              <w:t>May not come to agreement</w:t>
            </w:r>
            <w:r>
              <w:rPr>
                <w:bCs/>
                <w:sz w:val="22"/>
                <w:szCs w:val="22"/>
              </w:rPr>
              <w:t xml:space="preserve"> on length of training</w:t>
            </w:r>
            <w:r w:rsidRPr="000726E6">
              <w:rPr>
                <w:bCs/>
                <w:sz w:val="22"/>
                <w:szCs w:val="22"/>
              </w:rPr>
              <w:t>, especi</w:t>
            </w:r>
            <w:r>
              <w:rPr>
                <w:bCs/>
                <w:sz w:val="22"/>
                <w:szCs w:val="22"/>
              </w:rPr>
              <w:t xml:space="preserve">ally if we go </w:t>
            </w:r>
            <w:r>
              <w:rPr>
                <w:bCs/>
                <w:sz w:val="22"/>
                <w:szCs w:val="22"/>
              </w:rPr>
              <w:lastRenderedPageBreak/>
              <w:t>with the Western R</w:t>
            </w:r>
            <w:r w:rsidRPr="000726E6">
              <w:rPr>
                <w:bCs/>
                <w:sz w:val="22"/>
                <w:szCs w:val="22"/>
              </w:rPr>
              <w:t>egion response.  No response from Central Region on this yet.</w:t>
            </w:r>
          </w:p>
        </w:tc>
      </w:tr>
      <w:tr w:rsidR="004C4AD5" w:rsidRPr="005155D8" w14:paraId="052DD50A" w14:textId="77777777" w:rsidTr="001A56AA">
        <w:trPr>
          <w:trHeight w:val="584"/>
          <w:jc w:val="center"/>
        </w:trPr>
        <w:tc>
          <w:tcPr>
            <w:tcW w:w="580" w:type="pct"/>
          </w:tcPr>
          <w:p w14:paraId="265EEFCB" w14:textId="77777777" w:rsidR="001A4CC1" w:rsidRDefault="004C4AD5" w:rsidP="00D5423D">
            <w:pPr>
              <w:spacing w:after="0" w:line="288" w:lineRule="auto"/>
              <w:rPr>
                <w:b/>
                <w:color w:val="000000"/>
                <w:sz w:val="24"/>
                <w:szCs w:val="24"/>
              </w:rPr>
            </w:pPr>
            <w:r w:rsidRPr="006215C5">
              <w:rPr>
                <w:b/>
                <w:color w:val="000000"/>
                <w:sz w:val="24"/>
                <w:szCs w:val="24"/>
              </w:rPr>
              <w:lastRenderedPageBreak/>
              <w:t>Time out of formal</w:t>
            </w:r>
            <w:r w:rsidR="001A4CC1">
              <w:rPr>
                <w:b/>
                <w:color w:val="000000"/>
                <w:sz w:val="24"/>
                <w:szCs w:val="24"/>
              </w:rPr>
              <w:t xml:space="preserve"> education</w:t>
            </w:r>
            <w:r w:rsidRPr="006215C5">
              <w:rPr>
                <w:b/>
                <w:color w:val="000000"/>
                <w:sz w:val="24"/>
                <w:szCs w:val="24"/>
              </w:rPr>
              <w:t>/</w:t>
            </w:r>
          </w:p>
          <w:p w14:paraId="57EEA4A5" w14:textId="2321FC57" w:rsidR="004C4AD5" w:rsidRPr="006215C5" w:rsidRDefault="004C4AD5" w:rsidP="00D5423D">
            <w:pPr>
              <w:spacing w:after="0" w:line="288" w:lineRule="auto"/>
              <w:rPr>
                <w:b/>
                <w:color w:val="000000"/>
                <w:sz w:val="24"/>
                <w:szCs w:val="24"/>
              </w:rPr>
            </w:pPr>
            <w:r w:rsidRPr="006215C5">
              <w:rPr>
                <w:b/>
                <w:color w:val="000000"/>
                <w:sz w:val="24"/>
                <w:szCs w:val="24"/>
              </w:rPr>
              <w:lastRenderedPageBreak/>
              <w:t>training/work</w:t>
            </w:r>
          </w:p>
        </w:tc>
        <w:tc>
          <w:tcPr>
            <w:tcW w:w="712" w:type="pct"/>
          </w:tcPr>
          <w:p w14:paraId="256E6348" w14:textId="243C420C" w:rsidR="004C4AD5" w:rsidRPr="000B5B08" w:rsidRDefault="004C4AD5" w:rsidP="00D5423D">
            <w:pPr>
              <w:spacing w:after="0" w:line="288" w:lineRule="auto"/>
              <w:rPr>
                <w:color w:val="000000"/>
                <w:sz w:val="22"/>
                <w:szCs w:val="22"/>
              </w:rPr>
            </w:pPr>
            <w:r w:rsidRPr="00992675">
              <w:rPr>
                <w:b/>
                <w:color w:val="000000"/>
                <w:sz w:val="22"/>
                <w:szCs w:val="22"/>
              </w:rPr>
              <w:lastRenderedPageBreak/>
              <w:t>N/A</w:t>
            </w:r>
            <w:r w:rsidRPr="000B5B08">
              <w:rPr>
                <w:color w:val="000000"/>
                <w:sz w:val="22"/>
                <w:szCs w:val="22"/>
              </w:rPr>
              <w:t xml:space="preserve"> is an option when you get into CaMS, but </w:t>
            </w:r>
            <w:r w:rsidRPr="000B5B08">
              <w:rPr>
                <w:color w:val="000000"/>
                <w:sz w:val="22"/>
                <w:szCs w:val="22"/>
              </w:rPr>
              <w:lastRenderedPageBreak/>
              <w:t>is missing on the paper-based PRF</w:t>
            </w:r>
          </w:p>
        </w:tc>
        <w:tc>
          <w:tcPr>
            <w:tcW w:w="652" w:type="pct"/>
          </w:tcPr>
          <w:p w14:paraId="16E384AB" w14:textId="77777777" w:rsidR="004C4AD5" w:rsidRPr="005155D8" w:rsidRDefault="004C4AD5" w:rsidP="00D5423D">
            <w:pPr>
              <w:spacing w:after="0" w:line="288" w:lineRule="auto"/>
              <w:ind w:left="72"/>
              <w:rPr>
                <w:sz w:val="22"/>
                <w:szCs w:val="22"/>
              </w:rPr>
            </w:pPr>
          </w:p>
        </w:tc>
        <w:tc>
          <w:tcPr>
            <w:tcW w:w="882" w:type="pct"/>
          </w:tcPr>
          <w:p w14:paraId="316560D9" w14:textId="77777777" w:rsidR="004C4AD5" w:rsidRPr="003A1865" w:rsidRDefault="004C4AD5" w:rsidP="00D5423D">
            <w:pPr>
              <w:spacing w:after="0" w:line="288" w:lineRule="auto"/>
              <w:ind w:left="72"/>
              <w:rPr>
                <w:sz w:val="22"/>
                <w:szCs w:val="22"/>
              </w:rPr>
            </w:pPr>
            <w:r>
              <w:rPr>
                <w:sz w:val="22"/>
                <w:szCs w:val="22"/>
              </w:rPr>
              <w:t>LBS participant registration form</w:t>
            </w:r>
          </w:p>
        </w:tc>
        <w:tc>
          <w:tcPr>
            <w:tcW w:w="883" w:type="pct"/>
          </w:tcPr>
          <w:p w14:paraId="19413EAC" w14:textId="77777777" w:rsidR="004C4AD5" w:rsidRPr="005155D8" w:rsidRDefault="004C4AD5" w:rsidP="00D5423D">
            <w:pPr>
              <w:spacing w:after="0" w:line="288" w:lineRule="auto"/>
              <w:ind w:left="72"/>
              <w:rPr>
                <w:b/>
                <w:bCs/>
                <w:sz w:val="22"/>
                <w:szCs w:val="22"/>
              </w:rPr>
            </w:pPr>
            <w:r>
              <w:rPr>
                <w:b/>
                <w:bCs/>
                <w:sz w:val="22"/>
                <w:szCs w:val="22"/>
              </w:rPr>
              <w:t>For now, just add this manually to the paper-based form</w:t>
            </w:r>
          </w:p>
        </w:tc>
        <w:tc>
          <w:tcPr>
            <w:tcW w:w="718" w:type="pct"/>
          </w:tcPr>
          <w:p w14:paraId="770E1E27" w14:textId="77777777" w:rsidR="004C4AD5" w:rsidRPr="005155D8" w:rsidRDefault="004C4AD5" w:rsidP="00D5423D">
            <w:pPr>
              <w:spacing w:after="0" w:line="288" w:lineRule="auto"/>
              <w:rPr>
                <w:sz w:val="22"/>
                <w:szCs w:val="22"/>
              </w:rPr>
            </w:pPr>
            <w:r>
              <w:rPr>
                <w:sz w:val="22"/>
                <w:szCs w:val="22"/>
              </w:rPr>
              <w:t>MTCU not planning to make more changes for some time.</w:t>
            </w:r>
          </w:p>
        </w:tc>
        <w:tc>
          <w:tcPr>
            <w:tcW w:w="573" w:type="pct"/>
          </w:tcPr>
          <w:p w14:paraId="73A7BDEB" w14:textId="77777777" w:rsidR="004C4AD5" w:rsidRPr="005155D8" w:rsidRDefault="004C4AD5" w:rsidP="00D5423D">
            <w:pPr>
              <w:spacing w:after="0" w:line="288" w:lineRule="auto"/>
              <w:rPr>
                <w:b/>
                <w:bCs/>
                <w:sz w:val="22"/>
                <w:szCs w:val="22"/>
              </w:rPr>
            </w:pPr>
          </w:p>
        </w:tc>
      </w:tr>
      <w:tr w:rsidR="001A56AA" w:rsidRPr="00FB453B" w14:paraId="3AAEC4F1" w14:textId="77777777" w:rsidTr="001A56AA">
        <w:trPr>
          <w:trHeight w:val="584"/>
          <w:jc w:val="center"/>
        </w:trPr>
        <w:tc>
          <w:tcPr>
            <w:tcW w:w="580" w:type="pct"/>
          </w:tcPr>
          <w:p w14:paraId="0B4E3F33" w14:textId="5DC63594" w:rsidR="002C5CBA" w:rsidRPr="00FB453B" w:rsidRDefault="002C5CBA" w:rsidP="00D5423D">
            <w:pPr>
              <w:spacing w:after="0" w:line="288" w:lineRule="auto"/>
              <w:rPr>
                <w:b/>
                <w:color w:val="004DC7"/>
                <w:sz w:val="24"/>
                <w:szCs w:val="24"/>
              </w:rPr>
            </w:pPr>
            <w:r w:rsidRPr="00FB453B">
              <w:rPr>
                <w:b/>
                <w:color w:val="004DC7"/>
                <w:sz w:val="24"/>
                <w:szCs w:val="24"/>
              </w:rPr>
              <w:t>Greater than 6 years out of training, education</w:t>
            </w:r>
          </w:p>
        </w:tc>
        <w:tc>
          <w:tcPr>
            <w:tcW w:w="712" w:type="pct"/>
          </w:tcPr>
          <w:p w14:paraId="53DB4F4F" w14:textId="068F82B8" w:rsidR="002C5CBA" w:rsidRPr="00FB453B" w:rsidRDefault="002C5CBA" w:rsidP="002C5CBA">
            <w:pPr>
              <w:spacing w:after="0" w:line="288" w:lineRule="auto"/>
              <w:rPr>
                <w:color w:val="004DC7"/>
                <w:sz w:val="22"/>
                <w:szCs w:val="22"/>
              </w:rPr>
            </w:pPr>
            <w:r w:rsidRPr="00FB453B">
              <w:rPr>
                <w:rFonts w:ascii="Century Schoolbook" w:hAnsi="Century Schoolbook"/>
                <w:color w:val="004DC7"/>
                <w:sz w:val="22"/>
              </w:rPr>
              <w:t>Discussion around how peo</w:t>
            </w:r>
            <w:r w:rsidR="00721DBB">
              <w:rPr>
                <w:rFonts w:ascii="Century Schoolbook" w:hAnsi="Century Schoolbook"/>
                <w:color w:val="004DC7"/>
                <w:sz w:val="22"/>
              </w:rPr>
              <w:t>ple are using the “N/A” option, and how people are recording a client who has never had any training.</w:t>
            </w:r>
          </w:p>
        </w:tc>
        <w:tc>
          <w:tcPr>
            <w:tcW w:w="652" w:type="pct"/>
          </w:tcPr>
          <w:p w14:paraId="1F7E63FD" w14:textId="48EF35E4" w:rsidR="002C5CBA" w:rsidRPr="00FB453B" w:rsidRDefault="002C5CBA" w:rsidP="00D5423D">
            <w:pPr>
              <w:spacing w:after="0" w:line="288" w:lineRule="auto"/>
              <w:ind w:left="72"/>
              <w:rPr>
                <w:color w:val="004DC7"/>
                <w:sz w:val="22"/>
                <w:szCs w:val="22"/>
              </w:rPr>
            </w:pPr>
            <w:r w:rsidRPr="00FB453B">
              <w:rPr>
                <w:rFonts w:ascii="Century Schoolbook" w:hAnsi="Century Schoolbook"/>
                <w:color w:val="004DC7"/>
                <w:sz w:val="22"/>
              </w:rPr>
              <w:t xml:space="preserve">Most use </w:t>
            </w:r>
            <w:r w:rsidRPr="00FB453B">
              <w:rPr>
                <w:rFonts w:ascii="Century Schoolbook" w:hAnsi="Century Schoolbook"/>
                <w:b/>
                <w:color w:val="004DC7"/>
                <w:sz w:val="22"/>
              </w:rPr>
              <w:t xml:space="preserve">Yes </w:t>
            </w:r>
            <w:r w:rsidRPr="00FB453B">
              <w:rPr>
                <w:rFonts w:ascii="Century Schoolbook" w:hAnsi="Century Schoolbook"/>
                <w:color w:val="004DC7"/>
                <w:sz w:val="22"/>
              </w:rPr>
              <w:t>if client has never had training or education and aren’t using N/A.</w:t>
            </w:r>
          </w:p>
        </w:tc>
        <w:tc>
          <w:tcPr>
            <w:tcW w:w="882" w:type="pct"/>
          </w:tcPr>
          <w:p w14:paraId="4ECEB607" w14:textId="77777777" w:rsidR="002C5CBA" w:rsidRPr="00FB453B" w:rsidRDefault="002C5CBA" w:rsidP="00D5423D">
            <w:pPr>
              <w:spacing w:after="0" w:line="288" w:lineRule="auto"/>
              <w:ind w:left="69"/>
              <w:rPr>
                <w:b/>
                <w:bCs/>
                <w:color w:val="004DC7"/>
                <w:sz w:val="22"/>
                <w:szCs w:val="22"/>
              </w:rPr>
            </w:pPr>
          </w:p>
        </w:tc>
        <w:tc>
          <w:tcPr>
            <w:tcW w:w="883" w:type="pct"/>
          </w:tcPr>
          <w:p w14:paraId="4D17CC6F" w14:textId="08A290A0" w:rsidR="002C5CBA" w:rsidRPr="00FB453B" w:rsidRDefault="002C5CBA" w:rsidP="002C5CBA">
            <w:pPr>
              <w:spacing w:line="312" w:lineRule="auto"/>
              <w:rPr>
                <w:rFonts w:ascii="Century Schoolbook" w:hAnsi="Century Schoolbook"/>
                <w:color w:val="004DC7"/>
                <w:sz w:val="22"/>
              </w:rPr>
            </w:pPr>
            <w:r w:rsidRPr="00FB453B">
              <w:rPr>
                <w:rFonts w:ascii="Century Schoolbook" w:hAnsi="Century Schoolbook"/>
                <w:color w:val="004DC7"/>
                <w:sz w:val="22"/>
              </w:rPr>
              <w:t xml:space="preserve">Agreement that it makes sense to use “N/A” if the learner is in a </w:t>
            </w:r>
            <w:r w:rsidRPr="00FB453B">
              <w:rPr>
                <w:rFonts w:ascii="Century Schoolbook" w:hAnsi="Century Schoolbook"/>
                <w:b/>
                <w:color w:val="004DC7"/>
                <w:sz w:val="22"/>
              </w:rPr>
              <w:t>concurrent</w:t>
            </w:r>
            <w:r w:rsidRPr="00FB453B">
              <w:rPr>
                <w:rFonts w:ascii="Century Schoolbook" w:hAnsi="Century Schoolbook"/>
                <w:color w:val="004DC7"/>
                <w:sz w:val="22"/>
              </w:rPr>
              <w:t xml:space="preserve"> program or is employed.   Otherwise, use “yes” if learner has never had any training.(greater than 6 years without training)</w:t>
            </w:r>
          </w:p>
          <w:p w14:paraId="6B2A1191" w14:textId="2381E92A" w:rsidR="002C5CBA" w:rsidRPr="00FB453B" w:rsidRDefault="002C5CBA" w:rsidP="002C5CBA">
            <w:pPr>
              <w:spacing w:line="312" w:lineRule="auto"/>
              <w:rPr>
                <w:rFonts w:ascii="Century Schoolbook" w:hAnsi="Century Schoolbook"/>
                <w:color w:val="004DC7"/>
                <w:sz w:val="22"/>
              </w:rPr>
            </w:pPr>
            <w:r w:rsidRPr="00FB453B">
              <w:rPr>
                <w:rFonts w:ascii="Century Schoolbook" w:hAnsi="Century Schoolbook"/>
                <w:color w:val="004DC7"/>
                <w:sz w:val="22"/>
              </w:rPr>
              <w:t xml:space="preserve">Georgian College staff will have to check with manager to see if this would be OK, as currently they are not using N/A at all.  </w:t>
            </w:r>
          </w:p>
        </w:tc>
        <w:tc>
          <w:tcPr>
            <w:tcW w:w="718" w:type="pct"/>
          </w:tcPr>
          <w:p w14:paraId="47F0DE83" w14:textId="77777777" w:rsidR="002C5CBA" w:rsidRPr="00FB453B" w:rsidRDefault="002C5CBA" w:rsidP="00D5423D">
            <w:pPr>
              <w:spacing w:after="0" w:line="288" w:lineRule="auto"/>
              <w:rPr>
                <w:color w:val="004DC7"/>
                <w:sz w:val="22"/>
                <w:szCs w:val="22"/>
              </w:rPr>
            </w:pPr>
          </w:p>
        </w:tc>
        <w:tc>
          <w:tcPr>
            <w:tcW w:w="573" w:type="pct"/>
          </w:tcPr>
          <w:p w14:paraId="7E9524B9" w14:textId="77777777" w:rsidR="002C5CBA" w:rsidRPr="00FB453B" w:rsidRDefault="002C5CBA" w:rsidP="00D5423D">
            <w:pPr>
              <w:spacing w:after="0" w:line="288" w:lineRule="auto"/>
              <w:rPr>
                <w:b/>
                <w:bCs/>
                <w:color w:val="004DC7"/>
                <w:sz w:val="22"/>
                <w:szCs w:val="22"/>
              </w:rPr>
            </w:pPr>
          </w:p>
        </w:tc>
      </w:tr>
      <w:tr w:rsidR="004C4AD5" w:rsidRPr="005155D8" w14:paraId="2EDC21FB" w14:textId="77777777" w:rsidTr="001A56AA">
        <w:trPr>
          <w:trHeight w:val="584"/>
          <w:jc w:val="center"/>
        </w:trPr>
        <w:tc>
          <w:tcPr>
            <w:tcW w:w="580" w:type="pct"/>
          </w:tcPr>
          <w:p w14:paraId="4A528D11" w14:textId="77777777" w:rsidR="004C4AD5" w:rsidRPr="00F265A9" w:rsidRDefault="004C4AD5" w:rsidP="00D5423D">
            <w:pPr>
              <w:spacing w:after="0" w:line="288" w:lineRule="auto"/>
              <w:rPr>
                <w:b/>
                <w:sz w:val="24"/>
                <w:szCs w:val="24"/>
              </w:rPr>
            </w:pPr>
            <w:r w:rsidRPr="00F265A9">
              <w:rPr>
                <w:b/>
                <w:sz w:val="24"/>
                <w:szCs w:val="24"/>
              </w:rPr>
              <w:t>Full-time vs. p</w:t>
            </w:r>
            <w:r>
              <w:rPr>
                <w:b/>
                <w:sz w:val="24"/>
                <w:szCs w:val="24"/>
              </w:rPr>
              <w:t>art-time student – what is the d</w:t>
            </w:r>
            <w:r w:rsidRPr="00F265A9">
              <w:rPr>
                <w:b/>
                <w:sz w:val="24"/>
                <w:szCs w:val="24"/>
              </w:rPr>
              <w:t xml:space="preserve">efinition of </w:t>
            </w:r>
            <w:r>
              <w:rPr>
                <w:b/>
                <w:sz w:val="24"/>
                <w:szCs w:val="24"/>
              </w:rPr>
              <w:t>“</w:t>
            </w:r>
            <w:r w:rsidRPr="00F265A9">
              <w:rPr>
                <w:b/>
                <w:sz w:val="24"/>
                <w:szCs w:val="24"/>
              </w:rPr>
              <w:t>full-time</w:t>
            </w:r>
            <w:r>
              <w:rPr>
                <w:b/>
                <w:sz w:val="24"/>
                <w:szCs w:val="24"/>
              </w:rPr>
              <w:t>”</w:t>
            </w:r>
            <w:r w:rsidRPr="00F265A9">
              <w:rPr>
                <w:b/>
                <w:sz w:val="24"/>
                <w:szCs w:val="24"/>
              </w:rPr>
              <w:t xml:space="preserve"> for LBS?</w:t>
            </w:r>
          </w:p>
        </w:tc>
        <w:tc>
          <w:tcPr>
            <w:tcW w:w="712" w:type="pct"/>
          </w:tcPr>
          <w:p w14:paraId="5BFA9400" w14:textId="77777777" w:rsidR="004C4AD5" w:rsidRPr="005155D8" w:rsidRDefault="004C4AD5" w:rsidP="00D5423D">
            <w:pPr>
              <w:spacing w:after="0" w:line="288" w:lineRule="auto"/>
              <w:rPr>
                <w:sz w:val="22"/>
                <w:szCs w:val="22"/>
              </w:rPr>
            </w:pPr>
            <w:r w:rsidRPr="005155D8">
              <w:rPr>
                <w:sz w:val="22"/>
                <w:szCs w:val="22"/>
              </w:rPr>
              <w:t>Some LBS learners were being considered ineligible for ES assisted services because they sa</w:t>
            </w:r>
            <w:r>
              <w:rPr>
                <w:sz w:val="22"/>
                <w:szCs w:val="22"/>
              </w:rPr>
              <w:t>id they were full-time students</w:t>
            </w:r>
            <w:r w:rsidRPr="005155D8">
              <w:rPr>
                <w:sz w:val="22"/>
                <w:szCs w:val="22"/>
              </w:rPr>
              <w:t>, though no</w:t>
            </w:r>
            <w:r>
              <w:rPr>
                <w:sz w:val="22"/>
                <w:szCs w:val="22"/>
              </w:rPr>
              <w:t>t actually attending more than half-</w:t>
            </w:r>
            <w:r w:rsidRPr="005155D8">
              <w:rPr>
                <w:sz w:val="22"/>
                <w:szCs w:val="22"/>
              </w:rPr>
              <w:t>days or more than a few full days per week</w:t>
            </w:r>
          </w:p>
        </w:tc>
        <w:tc>
          <w:tcPr>
            <w:tcW w:w="652" w:type="pct"/>
          </w:tcPr>
          <w:p w14:paraId="370CA123" w14:textId="77777777" w:rsidR="004C4AD5" w:rsidRPr="005155D8" w:rsidRDefault="004C4AD5" w:rsidP="00D5423D">
            <w:pPr>
              <w:spacing w:after="0" w:line="288" w:lineRule="auto"/>
              <w:ind w:left="72"/>
              <w:rPr>
                <w:sz w:val="22"/>
                <w:szCs w:val="22"/>
              </w:rPr>
            </w:pPr>
            <w:r w:rsidRPr="005155D8">
              <w:rPr>
                <w:sz w:val="22"/>
                <w:szCs w:val="22"/>
              </w:rPr>
              <w:t>SPs have been told by ETCs that it depends on each LBS agency’s definition of “full-time”.</w:t>
            </w:r>
          </w:p>
          <w:p w14:paraId="7A8E8D15" w14:textId="77777777" w:rsidR="004C4AD5" w:rsidRPr="005155D8" w:rsidRDefault="004C4AD5" w:rsidP="00D5423D">
            <w:pPr>
              <w:spacing w:after="0" w:line="288" w:lineRule="auto"/>
              <w:ind w:left="72"/>
              <w:rPr>
                <w:sz w:val="22"/>
                <w:szCs w:val="22"/>
              </w:rPr>
            </w:pPr>
          </w:p>
          <w:p w14:paraId="49C768DF" w14:textId="77777777" w:rsidR="004C4AD5" w:rsidRPr="005155D8" w:rsidRDefault="004C4AD5" w:rsidP="00D5423D">
            <w:pPr>
              <w:spacing w:after="0" w:line="288" w:lineRule="auto"/>
              <w:ind w:left="72"/>
              <w:rPr>
                <w:sz w:val="22"/>
                <w:szCs w:val="22"/>
              </w:rPr>
            </w:pPr>
            <w:r w:rsidRPr="005155D8">
              <w:rPr>
                <w:sz w:val="22"/>
                <w:szCs w:val="22"/>
              </w:rPr>
              <w:t xml:space="preserve">LBS providers feel that LBS should </w:t>
            </w:r>
            <w:r w:rsidRPr="005155D8">
              <w:rPr>
                <w:b/>
                <w:bCs/>
                <w:sz w:val="22"/>
                <w:szCs w:val="22"/>
              </w:rPr>
              <w:t>never</w:t>
            </w:r>
            <w:r w:rsidRPr="005155D8">
              <w:rPr>
                <w:sz w:val="22"/>
                <w:szCs w:val="22"/>
              </w:rPr>
              <w:t xml:space="preserve"> be considered “full-time” and have </w:t>
            </w:r>
            <w:r w:rsidRPr="005155D8">
              <w:rPr>
                <w:sz w:val="22"/>
                <w:szCs w:val="22"/>
              </w:rPr>
              <w:lastRenderedPageBreak/>
              <w:t>requested that from MTCU as a directive to ES providers.  LBS training is flexible and adjustable, according to the student’s needs.</w:t>
            </w:r>
          </w:p>
        </w:tc>
        <w:tc>
          <w:tcPr>
            <w:tcW w:w="882" w:type="pct"/>
          </w:tcPr>
          <w:p w14:paraId="020F11CD" w14:textId="77777777" w:rsidR="004C4AD5" w:rsidRPr="005155D8" w:rsidRDefault="004C4AD5" w:rsidP="00D5423D">
            <w:pPr>
              <w:spacing w:after="0" w:line="288" w:lineRule="auto"/>
              <w:ind w:left="69"/>
              <w:rPr>
                <w:sz w:val="22"/>
                <w:szCs w:val="22"/>
              </w:rPr>
            </w:pPr>
            <w:r>
              <w:rPr>
                <w:b/>
                <w:bCs/>
                <w:sz w:val="22"/>
                <w:szCs w:val="22"/>
              </w:rPr>
              <w:lastRenderedPageBreak/>
              <w:t xml:space="preserve">Western region </w:t>
            </w:r>
            <w:r w:rsidRPr="005155D8">
              <w:rPr>
                <w:b/>
                <w:bCs/>
                <w:sz w:val="22"/>
                <w:szCs w:val="22"/>
              </w:rPr>
              <w:t>TCU Response (QUILL</w:t>
            </w:r>
            <w:r>
              <w:rPr>
                <w:b/>
                <w:bCs/>
                <w:sz w:val="22"/>
                <w:szCs w:val="22"/>
              </w:rPr>
              <w:t xml:space="preserve"> Network</w:t>
            </w:r>
            <w:r w:rsidRPr="005155D8">
              <w:rPr>
                <w:b/>
                <w:bCs/>
                <w:sz w:val="22"/>
                <w:szCs w:val="22"/>
              </w:rPr>
              <w:t>):</w:t>
            </w:r>
            <w:r w:rsidRPr="005155D8">
              <w:rPr>
                <w:sz w:val="22"/>
                <w:szCs w:val="22"/>
              </w:rPr>
              <w:t xml:space="preserve">  Full-time or part-time is defined by the learner identifying as a student attending </w:t>
            </w:r>
            <w:r w:rsidRPr="005155D8">
              <w:rPr>
                <w:b/>
                <w:bCs/>
                <w:sz w:val="22"/>
                <w:szCs w:val="22"/>
              </w:rPr>
              <w:t>outside</w:t>
            </w:r>
            <w:r w:rsidRPr="005155D8">
              <w:rPr>
                <w:sz w:val="22"/>
                <w:szCs w:val="22"/>
              </w:rPr>
              <w:t xml:space="preserve"> of the LBS program.</w:t>
            </w:r>
          </w:p>
          <w:p w14:paraId="172A9056" w14:textId="77777777" w:rsidR="004C4AD5" w:rsidRDefault="004C4AD5" w:rsidP="00D5423D">
            <w:pPr>
              <w:spacing w:after="0" w:line="288" w:lineRule="auto"/>
              <w:ind w:left="72"/>
              <w:rPr>
                <w:b/>
                <w:bCs/>
                <w:sz w:val="22"/>
                <w:szCs w:val="22"/>
              </w:rPr>
            </w:pPr>
            <w:r w:rsidRPr="005155D8">
              <w:rPr>
                <w:b/>
                <w:bCs/>
                <w:sz w:val="22"/>
                <w:szCs w:val="22"/>
              </w:rPr>
              <w:t xml:space="preserve">  </w:t>
            </w:r>
          </w:p>
          <w:p w14:paraId="56EFE2D3" w14:textId="77777777" w:rsidR="004C4AD5" w:rsidRPr="005155D8" w:rsidRDefault="004C4AD5" w:rsidP="00D5423D">
            <w:pPr>
              <w:spacing w:after="0" w:line="288" w:lineRule="auto"/>
              <w:ind w:left="72"/>
              <w:rPr>
                <w:b/>
                <w:bCs/>
                <w:sz w:val="22"/>
                <w:szCs w:val="22"/>
              </w:rPr>
            </w:pPr>
            <w:r>
              <w:rPr>
                <w:b/>
                <w:bCs/>
                <w:sz w:val="22"/>
                <w:szCs w:val="22"/>
              </w:rPr>
              <w:t>No direct response from Central Region to-date.</w:t>
            </w:r>
          </w:p>
        </w:tc>
        <w:tc>
          <w:tcPr>
            <w:tcW w:w="883" w:type="pct"/>
          </w:tcPr>
          <w:p w14:paraId="4BDD903E" w14:textId="77777777" w:rsidR="004C4AD5" w:rsidRPr="005155D8" w:rsidRDefault="004C4AD5" w:rsidP="00D5423D">
            <w:pPr>
              <w:spacing w:after="0" w:line="288" w:lineRule="auto"/>
              <w:ind w:left="72"/>
              <w:rPr>
                <w:sz w:val="22"/>
                <w:szCs w:val="22"/>
              </w:rPr>
            </w:pPr>
            <w:r w:rsidRPr="005155D8">
              <w:rPr>
                <w:sz w:val="22"/>
                <w:szCs w:val="22"/>
              </w:rPr>
              <w:t>LBS providers are inclined to tell students they are not full-time, but this has not been formally agreed.</w:t>
            </w:r>
          </w:p>
        </w:tc>
        <w:tc>
          <w:tcPr>
            <w:tcW w:w="718" w:type="pct"/>
          </w:tcPr>
          <w:p w14:paraId="0DF38154" w14:textId="77777777" w:rsidR="004C4AD5" w:rsidRPr="005155D8" w:rsidRDefault="004C4AD5" w:rsidP="00D5423D">
            <w:pPr>
              <w:spacing w:after="0" w:line="288" w:lineRule="auto"/>
              <w:rPr>
                <w:sz w:val="22"/>
                <w:szCs w:val="22"/>
              </w:rPr>
            </w:pPr>
            <w:r>
              <w:rPr>
                <w:sz w:val="22"/>
                <w:szCs w:val="22"/>
              </w:rPr>
              <w:t>Still in discussion.</w:t>
            </w:r>
          </w:p>
        </w:tc>
        <w:tc>
          <w:tcPr>
            <w:tcW w:w="573" w:type="pct"/>
          </w:tcPr>
          <w:p w14:paraId="51B52F15" w14:textId="77777777" w:rsidR="004C4AD5" w:rsidRPr="005155D8" w:rsidRDefault="004C4AD5" w:rsidP="00D5423D">
            <w:pPr>
              <w:spacing w:after="0" w:line="288" w:lineRule="auto"/>
              <w:rPr>
                <w:b/>
                <w:bCs/>
                <w:sz w:val="22"/>
                <w:szCs w:val="22"/>
              </w:rPr>
            </w:pPr>
          </w:p>
        </w:tc>
      </w:tr>
      <w:tr w:rsidR="004C4AD5" w:rsidRPr="005155D8" w14:paraId="6C33BE53" w14:textId="77777777" w:rsidTr="001A56AA">
        <w:trPr>
          <w:trHeight w:val="2591"/>
          <w:jc w:val="center"/>
        </w:trPr>
        <w:tc>
          <w:tcPr>
            <w:tcW w:w="580" w:type="pct"/>
          </w:tcPr>
          <w:p w14:paraId="4E105C7F" w14:textId="0C543B77" w:rsidR="004C4AD5" w:rsidRPr="002D7780" w:rsidRDefault="004C4AD5" w:rsidP="00D5423D">
            <w:pPr>
              <w:spacing w:after="0" w:line="288" w:lineRule="auto"/>
              <w:rPr>
                <w:b/>
                <w:sz w:val="24"/>
                <w:szCs w:val="24"/>
              </w:rPr>
            </w:pPr>
            <w:r w:rsidRPr="002D7780">
              <w:rPr>
                <w:b/>
                <w:sz w:val="24"/>
                <w:szCs w:val="24"/>
              </w:rPr>
              <w:t>Referral out to E</w:t>
            </w:r>
            <w:r>
              <w:rPr>
                <w:b/>
                <w:sz w:val="24"/>
                <w:szCs w:val="24"/>
              </w:rPr>
              <w:t xml:space="preserve">mployment </w:t>
            </w:r>
            <w:r w:rsidRPr="002D7780">
              <w:rPr>
                <w:b/>
                <w:sz w:val="24"/>
                <w:szCs w:val="24"/>
              </w:rPr>
              <w:t>S</w:t>
            </w:r>
            <w:r>
              <w:rPr>
                <w:b/>
                <w:sz w:val="24"/>
                <w:szCs w:val="24"/>
              </w:rPr>
              <w:t>ervices (ES)</w:t>
            </w:r>
          </w:p>
        </w:tc>
        <w:tc>
          <w:tcPr>
            <w:tcW w:w="712" w:type="pct"/>
          </w:tcPr>
          <w:p w14:paraId="64B94475" w14:textId="77777777" w:rsidR="004C4AD5" w:rsidRPr="005155D8" w:rsidRDefault="004C4AD5" w:rsidP="00D5423D">
            <w:pPr>
              <w:spacing w:after="0" w:line="288" w:lineRule="auto"/>
              <w:rPr>
                <w:sz w:val="22"/>
                <w:szCs w:val="22"/>
              </w:rPr>
            </w:pPr>
            <w:r w:rsidRPr="005155D8">
              <w:rPr>
                <w:sz w:val="22"/>
                <w:szCs w:val="22"/>
              </w:rPr>
              <w:t xml:space="preserve">Sometimes learners have already been to ES (or referred in from ES) so generally no referral to ES during service.  </w:t>
            </w:r>
          </w:p>
        </w:tc>
        <w:tc>
          <w:tcPr>
            <w:tcW w:w="652" w:type="pct"/>
          </w:tcPr>
          <w:p w14:paraId="328431EB" w14:textId="77777777" w:rsidR="004C4AD5" w:rsidRPr="005155D8" w:rsidRDefault="004C4AD5" w:rsidP="00D5423D">
            <w:pPr>
              <w:spacing w:after="0" w:line="288" w:lineRule="auto"/>
              <w:ind w:left="72"/>
              <w:rPr>
                <w:sz w:val="22"/>
                <w:szCs w:val="22"/>
              </w:rPr>
            </w:pPr>
            <w:r>
              <w:rPr>
                <w:sz w:val="22"/>
                <w:szCs w:val="22"/>
              </w:rPr>
              <w:t>Varies among service providers</w:t>
            </w:r>
          </w:p>
        </w:tc>
        <w:tc>
          <w:tcPr>
            <w:tcW w:w="882" w:type="pct"/>
          </w:tcPr>
          <w:p w14:paraId="147BD00D" w14:textId="77777777" w:rsidR="004C4AD5" w:rsidRPr="005155D8" w:rsidRDefault="004C4AD5" w:rsidP="00D5423D">
            <w:pPr>
              <w:spacing w:after="0" w:line="288" w:lineRule="auto"/>
              <w:ind w:left="72"/>
              <w:rPr>
                <w:b/>
                <w:bCs/>
                <w:sz w:val="22"/>
                <w:szCs w:val="22"/>
              </w:rPr>
            </w:pPr>
          </w:p>
        </w:tc>
        <w:tc>
          <w:tcPr>
            <w:tcW w:w="883" w:type="pct"/>
          </w:tcPr>
          <w:p w14:paraId="6CE947BB" w14:textId="77777777" w:rsidR="004C4AD5" w:rsidRDefault="004C4AD5" w:rsidP="00D5423D">
            <w:pPr>
              <w:spacing w:after="0" w:line="288" w:lineRule="auto"/>
              <w:ind w:left="72"/>
              <w:rPr>
                <w:sz w:val="22"/>
                <w:szCs w:val="22"/>
              </w:rPr>
            </w:pPr>
            <w:r w:rsidRPr="005155D8">
              <w:rPr>
                <w:sz w:val="22"/>
                <w:szCs w:val="22"/>
              </w:rPr>
              <w:t xml:space="preserve">However, </w:t>
            </w:r>
            <w:r>
              <w:rPr>
                <w:sz w:val="22"/>
                <w:szCs w:val="22"/>
              </w:rPr>
              <w:t>LBS learners</w:t>
            </w:r>
            <w:r w:rsidRPr="005155D8">
              <w:rPr>
                <w:sz w:val="22"/>
                <w:szCs w:val="22"/>
              </w:rPr>
              <w:t xml:space="preserve"> should be referred out to ES when leaving LBS and ready to work.</w:t>
            </w:r>
          </w:p>
          <w:p w14:paraId="4C71B5F0" w14:textId="77777777" w:rsidR="004C4AD5" w:rsidRDefault="004C4AD5" w:rsidP="00D5423D">
            <w:pPr>
              <w:spacing w:after="0" w:line="288" w:lineRule="auto"/>
              <w:ind w:left="72"/>
              <w:rPr>
                <w:color w:val="FF0000"/>
                <w:sz w:val="22"/>
                <w:szCs w:val="22"/>
              </w:rPr>
            </w:pPr>
            <w:r>
              <w:rPr>
                <w:color w:val="FF0000"/>
                <w:sz w:val="22"/>
                <w:szCs w:val="22"/>
              </w:rPr>
              <w:t>(Might depend whether</w:t>
            </w:r>
            <w:r w:rsidRPr="00476AD6">
              <w:rPr>
                <w:color w:val="FF0000"/>
                <w:sz w:val="22"/>
                <w:szCs w:val="22"/>
              </w:rPr>
              <w:t xml:space="preserve"> ES service plan is closed </w:t>
            </w:r>
            <w:r>
              <w:rPr>
                <w:color w:val="FF0000"/>
                <w:sz w:val="22"/>
                <w:szCs w:val="22"/>
              </w:rPr>
              <w:t>or still open?)</w:t>
            </w:r>
          </w:p>
          <w:p w14:paraId="415D8C55" w14:textId="77777777" w:rsidR="004C4AD5" w:rsidRPr="005155D8" w:rsidRDefault="004C4AD5" w:rsidP="00D5423D">
            <w:pPr>
              <w:spacing w:after="0" w:line="288" w:lineRule="auto"/>
              <w:ind w:left="72"/>
              <w:rPr>
                <w:b/>
                <w:bCs/>
                <w:sz w:val="22"/>
                <w:szCs w:val="22"/>
              </w:rPr>
            </w:pPr>
          </w:p>
        </w:tc>
        <w:tc>
          <w:tcPr>
            <w:tcW w:w="718" w:type="pct"/>
          </w:tcPr>
          <w:p w14:paraId="3CDD720B" w14:textId="77777777" w:rsidR="004C4AD5" w:rsidRPr="005155D8" w:rsidRDefault="004C4AD5" w:rsidP="00D5423D">
            <w:pPr>
              <w:spacing w:after="0" w:line="288" w:lineRule="auto"/>
              <w:rPr>
                <w:sz w:val="22"/>
                <w:szCs w:val="22"/>
              </w:rPr>
            </w:pPr>
            <w:r>
              <w:rPr>
                <w:sz w:val="22"/>
                <w:szCs w:val="22"/>
              </w:rPr>
              <w:t>Shows service co-ordination and progress along goal path.</w:t>
            </w:r>
          </w:p>
        </w:tc>
        <w:tc>
          <w:tcPr>
            <w:tcW w:w="573" w:type="pct"/>
          </w:tcPr>
          <w:p w14:paraId="166CEFAF" w14:textId="77777777" w:rsidR="004C4AD5" w:rsidRPr="005155D8" w:rsidRDefault="004C4AD5" w:rsidP="00D5423D">
            <w:pPr>
              <w:spacing w:after="0" w:line="288" w:lineRule="auto"/>
              <w:rPr>
                <w:b/>
                <w:bCs/>
                <w:sz w:val="22"/>
                <w:szCs w:val="22"/>
              </w:rPr>
            </w:pPr>
          </w:p>
        </w:tc>
      </w:tr>
      <w:tr w:rsidR="004C4AD5" w:rsidRPr="005155D8" w14:paraId="6C07F7AA" w14:textId="77777777" w:rsidTr="001A56AA">
        <w:trPr>
          <w:trHeight w:val="442"/>
          <w:jc w:val="center"/>
        </w:trPr>
        <w:tc>
          <w:tcPr>
            <w:tcW w:w="580" w:type="pct"/>
          </w:tcPr>
          <w:p w14:paraId="1819675F" w14:textId="77777777" w:rsidR="004C4AD5" w:rsidRPr="00B339CA" w:rsidRDefault="004C4AD5" w:rsidP="00D5423D">
            <w:pPr>
              <w:spacing w:after="0" w:line="288" w:lineRule="auto"/>
              <w:rPr>
                <w:b/>
                <w:sz w:val="24"/>
                <w:szCs w:val="24"/>
              </w:rPr>
            </w:pPr>
            <w:r w:rsidRPr="00B339CA">
              <w:rPr>
                <w:b/>
                <w:sz w:val="24"/>
                <w:szCs w:val="24"/>
              </w:rPr>
              <w:t>Referred out to Adult Credits (OSSD)</w:t>
            </w:r>
          </w:p>
        </w:tc>
        <w:tc>
          <w:tcPr>
            <w:tcW w:w="712" w:type="pct"/>
          </w:tcPr>
          <w:p w14:paraId="219F6CAC" w14:textId="77777777" w:rsidR="004C4AD5" w:rsidRDefault="004C4AD5" w:rsidP="00D5423D">
            <w:pPr>
              <w:spacing w:after="0" w:line="288" w:lineRule="auto"/>
              <w:rPr>
                <w:sz w:val="22"/>
                <w:szCs w:val="22"/>
              </w:rPr>
            </w:pPr>
            <w:r w:rsidRPr="005155D8">
              <w:rPr>
                <w:sz w:val="22"/>
                <w:szCs w:val="22"/>
              </w:rPr>
              <w:t xml:space="preserve">Adult </w:t>
            </w:r>
            <w:r>
              <w:rPr>
                <w:sz w:val="22"/>
                <w:szCs w:val="22"/>
              </w:rPr>
              <w:t>high school c</w:t>
            </w:r>
            <w:r w:rsidRPr="005155D8">
              <w:rPr>
                <w:sz w:val="22"/>
                <w:szCs w:val="22"/>
              </w:rPr>
              <w:t xml:space="preserve">redit programs not included in list of choices </w:t>
            </w:r>
          </w:p>
          <w:p w14:paraId="7C18CF0F" w14:textId="77777777" w:rsidR="004C4AD5" w:rsidRDefault="004C4AD5" w:rsidP="00D5423D">
            <w:pPr>
              <w:spacing w:after="0" w:line="288" w:lineRule="auto"/>
              <w:rPr>
                <w:sz w:val="22"/>
                <w:szCs w:val="22"/>
              </w:rPr>
            </w:pPr>
          </w:p>
          <w:p w14:paraId="5ECC64B7" w14:textId="77777777" w:rsidR="004C4AD5" w:rsidRPr="005155D8" w:rsidRDefault="004C4AD5" w:rsidP="00D5423D">
            <w:pPr>
              <w:spacing w:after="0" w:line="288" w:lineRule="auto"/>
              <w:rPr>
                <w:sz w:val="22"/>
                <w:szCs w:val="22"/>
              </w:rPr>
            </w:pPr>
          </w:p>
        </w:tc>
        <w:tc>
          <w:tcPr>
            <w:tcW w:w="652" w:type="pct"/>
          </w:tcPr>
          <w:p w14:paraId="62409A78" w14:textId="77777777" w:rsidR="004C4AD5" w:rsidRDefault="004C4AD5" w:rsidP="00D5423D">
            <w:pPr>
              <w:spacing w:after="0" w:line="288" w:lineRule="auto"/>
              <w:ind w:left="72"/>
              <w:rPr>
                <w:sz w:val="22"/>
                <w:szCs w:val="22"/>
              </w:rPr>
            </w:pPr>
            <w:r w:rsidRPr="005155D8">
              <w:rPr>
                <w:sz w:val="22"/>
                <w:szCs w:val="22"/>
              </w:rPr>
              <w:t xml:space="preserve">some using </w:t>
            </w:r>
            <w:r>
              <w:rPr>
                <w:sz w:val="22"/>
                <w:szCs w:val="22"/>
              </w:rPr>
              <w:t xml:space="preserve">high school, others using Other- </w:t>
            </w:r>
            <w:r w:rsidRPr="005155D8">
              <w:rPr>
                <w:sz w:val="22"/>
                <w:szCs w:val="22"/>
              </w:rPr>
              <w:t>Structured</w:t>
            </w:r>
            <w:r>
              <w:rPr>
                <w:sz w:val="22"/>
                <w:szCs w:val="22"/>
              </w:rPr>
              <w:t>/formal</w:t>
            </w:r>
            <w:r w:rsidRPr="005155D8">
              <w:rPr>
                <w:sz w:val="22"/>
                <w:szCs w:val="22"/>
              </w:rPr>
              <w:t xml:space="preserve"> referral</w:t>
            </w:r>
            <w:r>
              <w:rPr>
                <w:sz w:val="22"/>
                <w:szCs w:val="22"/>
              </w:rPr>
              <w:t xml:space="preserve">  </w:t>
            </w:r>
          </w:p>
          <w:p w14:paraId="6372CD33" w14:textId="77777777" w:rsidR="004C4AD5" w:rsidRDefault="004C4AD5" w:rsidP="00D5423D">
            <w:pPr>
              <w:spacing w:after="0" w:line="288" w:lineRule="auto"/>
              <w:rPr>
                <w:sz w:val="22"/>
                <w:szCs w:val="22"/>
              </w:rPr>
            </w:pPr>
          </w:p>
          <w:p w14:paraId="4637150A" w14:textId="77777777" w:rsidR="004C4AD5" w:rsidRPr="005155D8" w:rsidRDefault="004C4AD5" w:rsidP="00D5423D">
            <w:pPr>
              <w:spacing w:after="0" w:line="288" w:lineRule="auto"/>
              <w:ind w:left="72"/>
              <w:rPr>
                <w:sz w:val="22"/>
                <w:szCs w:val="22"/>
              </w:rPr>
            </w:pPr>
          </w:p>
        </w:tc>
        <w:tc>
          <w:tcPr>
            <w:tcW w:w="882" w:type="pct"/>
          </w:tcPr>
          <w:p w14:paraId="4A2EEF9B" w14:textId="77777777" w:rsidR="004C4AD5" w:rsidRPr="005155D8" w:rsidRDefault="004C4AD5" w:rsidP="00D5423D">
            <w:pPr>
              <w:spacing w:after="0" w:line="288" w:lineRule="auto"/>
              <w:ind w:left="72"/>
              <w:rPr>
                <w:b/>
                <w:bCs/>
                <w:sz w:val="22"/>
                <w:szCs w:val="22"/>
              </w:rPr>
            </w:pPr>
            <w:r>
              <w:rPr>
                <w:b/>
                <w:bCs/>
                <w:sz w:val="22"/>
                <w:szCs w:val="22"/>
              </w:rPr>
              <w:t>N/A</w:t>
            </w:r>
          </w:p>
        </w:tc>
        <w:tc>
          <w:tcPr>
            <w:tcW w:w="883" w:type="pct"/>
          </w:tcPr>
          <w:p w14:paraId="05AAF863" w14:textId="77777777" w:rsidR="004C4AD5" w:rsidRPr="00E32826" w:rsidRDefault="004C4AD5" w:rsidP="00D5423D">
            <w:pPr>
              <w:spacing w:after="0" w:line="288" w:lineRule="auto"/>
              <w:rPr>
                <w:sz w:val="22"/>
                <w:szCs w:val="22"/>
              </w:rPr>
            </w:pPr>
            <w:r w:rsidRPr="00AC47F1">
              <w:rPr>
                <w:sz w:val="22"/>
                <w:szCs w:val="22"/>
              </w:rPr>
              <w:t>When LBS learner moves to adult credit program, it seems the current preference is to record this as a referral out to “high school”.   On our stats analysis template, we are calling this “High School/adult credit program”.</w:t>
            </w:r>
          </w:p>
        </w:tc>
        <w:tc>
          <w:tcPr>
            <w:tcW w:w="718" w:type="pct"/>
          </w:tcPr>
          <w:p w14:paraId="0B0790BC" w14:textId="77777777" w:rsidR="004C4AD5" w:rsidRPr="00B339CA" w:rsidRDefault="004C4AD5" w:rsidP="00B339CA">
            <w:pPr>
              <w:widowControl w:val="0"/>
              <w:autoSpaceDE w:val="0"/>
              <w:autoSpaceDN w:val="0"/>
              <w:adjustRightInd w:val="0"/>
              <w:spacing w:after="0" w:line="288" w:lineRule="auto"/>
              <w:rPr>
                <w:sz w:val="22"/>
                <w:szCs w:val="22"/>
                <w:highlight w:val="yellow"/>
              </w:rPr>
            </w:pPr>
            <w:r w:rsidRPr="00B339CA">
              <w:rPr>
                <w:sz w:val="22"/>
                <w:szCs w:val="22"/>
              </w:rPr>
              <w:t>In the 2 school boards, the adult learning centres are considered to be high schools.</w:t>
            </w:r>
            <w:r w:rsidRPr="00B339CA">
              <w:rPr>
                <w:sz w:val="22"/>
                <w:szCs w:val="22"/>
                <w:highlight w:val="yellow"/>
              </w:rPr>
              <w:t xml:space="preserve"> </w:t>
            </w:r>
          </w:p>
          <w:p w14:paraId="3C483A90" w14:textId="77777777" w:rsidR="004C4AD5" w:rsidRPr="00B339CA" w:rsidRDefault="004C4AD5" w:rsidP="00B339CA">
            <w:pPr>
              <w:widowControl w:val="0"/>
              <w:autoSpaceDE w:val="0"/>
              <w:autoSpaceDN w:val="0"/>
              <w:adjustRightInd w:val="0"/>
              <w:spacing w:after="0" w:line="288" w:lineRule="auto"/>
              <w:rPr>
                <w:rFonts w:cs="Times New Roman"/>
                <w:sz w:val="22"/>
                <w:szCs w:val="22"/>
                <w:lang w:val="en-US" w:eastAsia="en-US"/>
              </w:rPr>
            </w:pPr>
            <w:r w:rsidRPr="00B339CA">
              <w:rPr>
                <w:sz w:val="22"/>
                <w:szCs w:val="22"/>
              </w:rPr>
              <w:t xml:space="preserve">This shows on DSQ as part of </w:t>
            </w:r>
            <w:r w:rsidRPr="00B339CA">
              <w:rPr>
                <w:rFonts w:cs="Times New Roman"/>
                <w:sz w:val="22"/>
                <w:szCs w:val="22"/>
                <w:lang w:val="en-US" w:eastAsia="en-US"/>
              </w:rPr>
              <w:t xml:space="preserve">Referred Out - Registered for education/training to </w:t>
            </w:r>
          </w:p>
          <w:p w14:paraId="39FB7DFB" w14:textId="77777777" w:rsidR="004C4AD5" w:rsidRPr="009275CE" w:rsidRDefault="004C4AD5" w:rsidP="00B339CA">
            <w:pPr>
              <w:spacing w:after="0" w:line="288" w:lineRule="auto"/>
              <w:rPr>
                <w:sz w:val="23"/>
                <w:szCs w:val="23"/>
                <w:lang w:val="en-US"/>
              </w:rPr>
            </w:pPr>
            <w:r w:rsidRPr="00B339CA">
              <w:rPr>
                <w:rFonts w:cs="Times New Roman"/>
                <w:sz w:val="22"/>
                <w:szCs w:val="22"/>
                <w:lang w:val="en-US" w:eastAsia="en-US"/>
              </w:rPr>
              <w:t>complete high school or equivalent</w:t>
            </w:r>
          </w:p>
        </w:tc>
        <w:tc>
          <w:tcPr>
            <w:tcW w:w="573" w:type="pct"/>
          </w:tcPr>
          <w:p w14:paraId="001CCD98" w14:textId="77777777" w:rsidR="004C4AD5" w:rsidRPr="005155D8" w:rsidRDefault="004C4AD5" w:rsidP="00D5423D">
            <w:pPr>
              <w:spacing w:after="0" w:line="288" w:lineRule="auto"/>
              <w:rPr>
                <w:b/>
                <w:bCs/>
                <w:sz w:val="22"/>
                <w:szCs w:val="22"/>
              </w:rPr>
            </w:pPr>
          </w:p>
        </w:tc>
      </w:tr>
      <w:tr w:rsidR="004C4AD5" w:rsidRPr="005155D8" w14:paraId="54D45FA5" w14:textId="77777777" w:rsidTr="001A56AA">
        <w:trPr>
          <w:trHeight w:val="1151"/>
          <w:jc w:val="center"/>
        </w:trPr>
        <w:tc>
          <w:tcPr>
            <w:tcW w:w="580" w:type="pct"/>
            <w:vMerge w:val="restart"/>
            <w:vAlign w:val="center"/>
          </w:tcPr>
          <w:p w14:paraId="08B51E7D" w14:textId="77777777" w:rsidR="004C4AD5" w:rsidRPr="00C54AB1" w:rsidRDefault="004C4AD5" w:rsidP="00346BF5">
            <w:pPr>
              <w:spacing w:after="0" w:line="288" w:lineRule="auto"/>
              <w:rPr>
                <w:b/>
                <w:sz w:val="24"/>
                <w:szCs w:val="24"/>
              </w:rPr>
            </w:pPr>
            <w:r w:rsidRPr="00C54AB1">
              <w:rPr>
                <w:b/>
                <w:sz w:val="24"/>
                <w:szCs w:val="24"/>
              </w:rPr>
              <w:lastRenderedPageBreak/>
              <w:t>Service co-ordination between LBS and ES</w:t>
            </w:r>
          </w:p>
        </w:tc>
        <w:tc>
          <w:tcPr>
            <w:tcW w:w="712" w:type="pct"/>
          </w:tcPr>
          <w:p w14:paraId="275F484D" w14:textId="77777777" w:rsidR="004C4AD5" w:rsidRPr="005155D8" w:rsidRDefault="004C4AD5" w:rsidP="00D5423D">
            <w:pPr>
              <w:spacing w:after="0" w:line="288" w:lineRule="auto"/>
              <w:rPr>
                <w:sz w:val="22"/>
                <w:szCs w:val="22"/>
              </w:rPr>
            </w:pPr>
            <w:r>
              <w:rPr>
                <w:sz w:val="22"/>
                <w:szCs w:val="22"/>
              </w:rPr>
              <w:t>Some Referrals O</w:t>
            </w:r>
            <w:r w:rsidRPr="005155D8">
              <w:rPr>
                <w:sz w:val="22"/>
                <w:szCs w:val="22"/>
              </w:rPr>
              <w:t xml:space="preserve">ut don't get counted – referrals to either LBS or ES can be missed in case of multiple referrals for an individual.  However, all </w:t>
            </w:r>
            <w:r w:rsidRPr="005155D8">
              <w:rPr>
                <w:b/>
                <w:bCs/>
                <w:sz w:val="22"/>
                <w:szCs w:val="22"/>
              </w:rPr>
              <w:t>referrals in</w:t>
            </w:r>
            <w:r w:rsidRPr="005155D8">
              <w:rPr>
                <w:sz w:val="22"/>
                <w:szCs w:val="22"/>
              </w:rPr>
              <w:t xml:space="preserve"> do get counted; </w:t>
            </w:r>
          </w:p>
          <w:p w14:paraId="0D656FDE" w14:textId="77777777" w:rsidR="004C4AD5" w:rsidRPr="00151308" w:rsidRDefault="004C4AD5" w:rsidP="00D5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2"/>
                <w:szCs w:val="22"/>
                <w:lang w:val="en-US" w:eastAsia="en-US"/>
              </w:rPr>
            </w:pPr>
          </w:p>
        </w:tc>
        <w:tc>
          <w:tcPr>
            <w:tcW w:w="652" w:type="pct"/>
          </w:tcPr>
          <w:p w14:paraId="07814C7A" w14:textId="77777777" w:rsidR="004C4AD5" w:rsidRPr="005155D8" w:rsidRDefault="004C4AD5" w:rsidP="00D5423D">
            <w:pPr>
              <w:spacing w:after="0" w:line="288" w:lineRule="auto"/>
              <w:rPr>
                <w:sz w:val="22"/>
                <w:szCs w:val="22"/>
              </w:rPr>
            </w:pPr>
          </w:p>
        </w:tc>
        <w:tc>
          <w:tcPr>
            <w:tcW w:w="882" w:type="pct"/>
          </w:tcPr>
          <w:p w14:paraId="065F99F9" w14:textId="77777777" w:rsidR="004C4AD5" w:rsidRPr="000E76BC" w:rsidRDefault="004C4AD5" w:rsidP="00D5423D">
            <w:pPr>
              <w:spacing w:after="0" w:line="288" w:lineRule="auto"/>
              <w:rPr>
                <w:sz w:val="22"/>
                <w:szCs w:val="22"/>
              </w:rPr>
            </w:pPr>
            <w:r w:rsidRPr="00F35523">
              <w:rPr>
                <w:sz w:val="22"/>
                <w:szCs w:val="22"/>
              </w:rPr>
              <w:t>Could use All-Case Activity reports, or individual learner info (if not too many learners) to track referrals to ES or LBS; also suggestion by an ES provider to alert their R&amp;I staff to track number of people they refer specifically to LBS</w:t>
            </w:r>
            <w:r>
              <w:rPr>
                <w:sz w:val="22"/>
                <w:szCs w:val="22"/>
              </w:rPr>
              <w:t xml:space="preserve">  -- other ideas??</w:t>
            </w:r>
          </w:p>
        </w:tc>
        <w:tc>
          <w:tcPr>
            <w:tcW w:w="883" w:type="pct"/>
          </w:tcPr>
          <w:p w14:paraId="1CA29B09" w14:textId="77777777" w:rsidR="004C4AD5" w:rsidRDefault="004C4AD5" w:rsidP="00D5423D">
            <w:pPr>
              <w:spacing w:after="0" w:line="288" w:lineRule="auto"/>
              <w:rPr>
                <w:sz w:val="22"/>
                <w:szCs w:val="22"/>
              </w:rPr>
            </w:pPr>
            <w:r w:rsidRPr="005155D8">
              <w:rPr>
                <w:sz w:val="22"/>
                <w:szCs w:val="22"/>
              </w:rPr>
              <w:t>Th</w:t>
            </w:r>
            <w:r>
              <w:rPr>
                <w:sz w:val="22"/>
                <w:szCs w:val="22"/>
              </w:rPr>
              <w:t>erefore, by using the referral -i</w:t>
            </w:r>
            <w:r w:rsidRPr="005155D8">
              <w:rPr>
                <w:sz w:val="22"/>
                <w:szCs w:val="22"/>
              </w:rPr>
              <w:t>n stats, ES providers can see the actual number of people referred by LBS and LBS providers can see the actual numbers referred by ES – we need to start sharing this data with each other.</w:t>
            </w:r>
          </w:p>
          <w:p w14:paraId="252256E0" w14:textId="77777777" w:rsidR="004C4AD5" w:rsidRDefault="004C4AD5" w:rsidP="00D5423D">
            <w:pPr>
              <w:spacing w:after="0" w:line="288" w:lineRule="auto"/>
              <w:rPr>
                <w:sz w:val="22"/>
                <w:szCs w:val="22"/>
              </w:rPr>
            </w:pPr>
          </w:p>
          <w:p w14:paraId="067FD020" w14:textId="77777777" w:rsidR="004C4AD5" w:rsidRDefault="004C4AD5" w:rsidP="00D5423D">
            <w:pPr>
              <w:keepNext/>
              <w:keepLines/>
              <w:spacing w:after="0" w:line="288" w:lineRule="auto"/>
              <w:outlineLvl w:val="5"/>
              <w:rPr>
                <w:sz w:val="22"/>
                <w:szCs w:val="22"/>
              </w:rPr>
            </w:pPr>
            <w:r w:rsidRPr="00F35523">
              <w:rPr>
                <w:sz w:val="22"/>
                <w:szCs w:val="22"/>
                <w:highlight w:val="yellow"/>
              </w:rPr>
              <w:t>Need to work out process</w:t>
            </w:r>
            <w:r>
              <w:rPr>
                <w:sz w:val="22"/>
                <w:szCs w:val="22"/>
                <w:highlight w:val="yellow"/>
              </w:rPr>
              <w:t xml:space="preserve"> if we pursue this</w:t>
            </w:r>
            <w:r w:rsidRPr="00F35523">
              <w:rPr>
                <w:sz w:val="22"/>
                <w:szCs w:val="22"/>
                <w:highlight w:val="yellow"/>
              </w:rPr>
              <w:t>.</w:t>
            </w:r>
          </w:p>
          <w:p w14:paraId="316BA877" w14:textId="77777777" w:rsidR="004C4AD5" w:rsidRPr="005155D8" w:rsidRDefault="004C4AD5" w:rsidP="00D5423D">
            <w:pPr>
              <w:keepNext/>
              <w:keepLines/>
              <w:spacing w:after="0" w:line="288" w:lineRule="auto"/>
              <w:outlineLvl w:val="5"/>
              <w:rPr>
                <w:sz w:val="22"/>
                <w:szCs w:val="22"/>
              </w:rPr>
            </w:pPr>
          </w:p>
        </w:tc>
        <w:tc>
          <w:tcPr>
            <w:tcW w:w="718" w:type="pct"/>
          </w:tcPr>
          <w:p w14:paraId="0A2AB5F3" w14:textId="5EDA6800" w:rsidR="004C4AD5" w:rsidRPr="005155D8" w:rsidRDefault="004C4AD5" w:rsidP="00D5423D">
            <w:pPr>
              <w:spacing w:after="0" w:line="288" w:lineRule="auto"/>
              <w:rPr>
                <w:sz w:val="22"/>
                <w:szCs w:val="22"/>
              </w:rPr>
            </w:pPr>
            <w:r>
              <w:rPr>
                <w:sz w:val="22"/>
                <w:szCs w:val="22"/>
              </w:rPr>
              <w:t>All providers need to be aware that num</w:t>
            </w:r>
            <w:r w:rsidR="009D5AD9">
              <w:rPr>
                <w:sz w:val="22"/>
                <w:szCs w:val="22"/>
              </w:rPr>
              <w:t>ber of referrals may be greater</w:t>
            </w:r>
            <w:r w:rsidR="001A56AA">
              <w:rPr>
                <w:sz w:val="22"/>
                <w:szCs w:val="22"/>
              </w:rPr>
              <w:t xml:space="preserve"> </w:t>
            </w:r>
            <w:r>
              <w:rPr>
                <w:sz w:val="22"/>
                <w:szCs w:val="22"/>
              </w:rPr>
              <w:t xml:space="preserve">than </w:t>
            </w:r>
            <w:r w:rsidR="009D5AD9">
              <w:rPr>
                <w:sz w:val="22"/>
                <w:szCs w:val="22"/>
              </w:rPr>
              <w:t xml:space="preserve">is </w:t>
            </w:r>
            <w:r>
              <w:rPr>
                <w:sz w:val="22"/>
                <w:szCs w:val="22"/>
              </w:rPr>
              <w:t>showing on CaMS reports.</w:t>
            </w:r>
          </w:p>
        </w:tc>
        <w:tc>
          <w:tcPr>
            <w:tcW w:w="573" w:type="pct"/>
          </w:tcPr>
          <w:p w14:paraId="2392E127" w14:textId="77777777" w:rsidR="004C4AD5" w:rsidRPr="005155D8" w:rsidRDefault="004C4AD5" w:rsidP="00D5423D">
            <w:pPr>
              <w:spacing w:after="0" w:line="288" w:lineRule="auto"/>
              <w:rPr>
                <w:b/>
                <w:bCs/>
                <w:sz w:val="22"/>
                <w:szCs w:val="22"/>
              </w:rPr>
            </w:pPr>
          </w:p>
        </w:tc>
      </w:tr>
      <w:tr w:rsidR="004C4AD5" w:rsidRPr="005155D8" w14:paraId="40357266" w14:textId="77777777" w:rsidTr="001A56AA">
        <w:trPr>
          <w:trHeight w:val="584"/>
          <w:jc w:val="center"/>
        </w:trPr>
        <w:tc>
          <w:tcPr>
            <w:tcW w:w="580" w:type="pct"/>
            <w:vMerge/>
          </w:tcPr>
          <w:p w14:paraId="72662BE8" w14:textId="77777777" w:rsidR="004C4AD5" w:rsidRPr="005155D8" w:rsidRDefault="004C4AD5" w:rsidP="00D5423D">
            <w:pPr>
              <w:spacing w:after="0" w:line="288" w:lineRule="auto"/>
              <w:rPr>
                <w:sz w:val="22"/>
                <w:szCs w:val="22"/>
              </w:rPr>
            </w:pPr>
          </w:p>
        </w:tc>
        <w:tc>
          <w:tcPr>
            <w:tcW w:w="712" w:type="pct"/>
          </w:tcPr>
          <w:p w14:paraId="54AF63DB" w14:textId="77777777" w:rsidR="004C4AD5" w:rsidRDefault="004C4AD5" w:rsidP="00D5423D">
            <w:pPr>
              <w:spacing w:after="0" w:line="288" w:lineRule="auto"/>
              <w:rPr>
                <w:sz w:val="22"/>
                <w:szCs w:val="22"/>
              </w:rPr>
            </w:pPr>
            <w:r w:rsidRPr="005155D8">
              <w:rPr>
                <w:sz w:val="22"/>
                <w:szCs w:val="22"/>
              </w:rPr>
              <w:t>Differing practices around who is referred to ES or LBS</w:t>
            </w:r>
          </w:p>
        </w:tc>
        <w:tc>
          <w:tcPr>
            <w:tcW w:w="652" w:type="pct"/>
          </w:tcPr>
          <w:p w14:paraId="6796BD12" w14:textId="77777777" w:rsidR="004C4AD5" w:rsidRPr="005155D8" w:rsidRDefault="004C4AD5" w:rsidP="00D5423D">
            <w:pPr>
              <w:spacing w:after="0" w:line="288" w:lineRule="auto"/>
              <w:rPr>
                <w:sz w:val="22"/>
                <w:szCs w:val="22"/>
              </w:rPr>
            </w:pPr>
          </w:p>
        </w:tc>
        <w:tc>
          <w:tcPr>
            <w:tcW w:w="882" w:type="pct"/>
          </w:tcPr>
          <w:p w14:paraId="1CE046B0" w14:textId="77777777" w:rsidR="004C4AD5" w:rsidRPr="00F35523" w:rsidRDefault="004C4AD5" w:rsidP="00D5423D">
            <w:pPr>
              <w:spacing w:after="0" w:line="288" w:lineRule="auto"/>
              <w:rPr>
                <w:sz w:val="22"/>
                <w:szCs w:val="22"/>
              </w:rPr>
            </w:pPr>
          </w:p>
        </w:tc>
        <w:tc>
          <w:tcPr>
            <w:tcW w:w="883" w:type="pct"/>
          </w:tcPr>
          <w:p w14:paraId="63049E09" w14:textId="77777777" w:rsidR="004C4AD5" w:rsidRPr="00E422DD" w:rsidRDefault="004C4AD5" w:rsidP="00D5423D">
            <w:pPr>
              <w:spacing w:after="0" w:line="288" w:lineRule="auto"/>
              <w:ind w:left="432"/>
              <w:rPr>
                <w:b/>
                <w:bCs/>
                <w:sz w:val="22"/>
                <w:szCs w:val="22"/>
              </w:rPr>
            </w:pPr>
            <w:r w:rsidRPr="00E422DD">
              <w:rPr>
                <w:b/>
                <w:bCs/>
                <w:sz w:val="22"/>
                <w:szCs w:val="22"/>
              </w:rPr>
              <w:t>Suggestion:</w:t>
            </w:r>
          </w:p>
          <w:p w14:paraId="432F9FC7" w14:textId="77777777" w:rsidR="004C4AD5" w:rsidRDefault="004C4AD5" w:rsidP="00D5423D">
            <w:pPr>
              <w:numPr>
                <w:ilvl w:val="0"/>
                <w:numId w:val="11"/>
              </w:numPr>
              <w:spacing w:after="0" w:line="288" w:lineRule="auto"/>
              <w:rPr>
                <w:sz w:val="22"/>
                <w:szCs w:val="22"/>
              </w:rPr>
            </w:pPr>
            <w:r w:rsidRPr="005155D8">
              <w:rPr>
                <w:sz w:val="22"/>
                <w:szCs w:val="22"/>
              </w:rPr>
              <w:t>Any ES clients with less than gra</w:t>
            </w:r>
            <w:r>
              <w:rPr>
                <w:sz w:val="22"/>
                <w:szCs w:val="22"/>
              </w:rPr>
              <w:t>de 12 should be referred to LBS.</w:t>
            </w:r>
          </w:p>
          <w:p w14:paraId="70601338" w14:textId="77777777" w:rsidR="004C4AD5" w:rsidRDefault="004C4AD5" w:rsidP="00D5423D">
            <w:pPr>
              <w:numPr>
                <w:ilvl w:val="0"/>
                <w:numId w:val="11"/>
              </w:numPr>
              <w:spacing w:after="0" w:line="288" w:lineRule="auto"/>
              <w:rPr>
                <w:sz w:val="22"/>
                <w:szCs w:val="22"/>
              </w:rPr>
            </w:pPr>
            <w:r w:rsidRPr="00346BF5">
              <w:rPr>
                <w:sz w:val="22"/>
                <w:szCs w:val="22"/>
              </w:rPr>
              <w:t>Anyone referred from LBS to ES should become an assisted client, if not already.</w:t>
            </w:r>
          </w:p>
          <w:p w14:paraId="15116D56" w14:textId="77777777" w:rsidR="004C4AD5" w:rsidRPr="00346BF5" w:rsidRDefault="004C4AD5" w:rsidP="00604757">
            <w:pPr>
              <w:spacing w:after="0" w:line="288" w:lineRule="auto"/>
              <w:ind w:left="432"/>
              <w:rPr>
                <w:sz w:val="22"/>
                <w:szCs w:val="22"/>
              </w:rPr>
            </w:pPr>
          </w:p>
        </w:tc>
        <w:tc>
          <w:tcPr>
            <w:tcW w:w="718" w:type="pct"/>
          </w:tcPr>
          <w:p w14:paraId="589C4020" w14:textId="77777777" w:rsidR="004C4AD5" w:rsidRPr="005155D8" w:rsidRDefault="004C4AD5" w:rsidP="00D5423D">
            <w:pPr>
              <w:spacing w:after="0" w:line="288" w:lineRule="auto"/>
              <w:rPr>
                <w:sz w:val="22"/>
                <w:szCs w:val="22"/>
              </w:rPr>
            </w:pPr>
          </w:p>
        </w:tc>
        <w:tc>
          <w:tcPr>
            <w:tcW w:w="573" w:type="pct"/>
          </w:tcPr>
          <w:p w14:paraId="7D54FB31" w14:textId="77777777" w:rsidR="004C4AD5" w:rsidRPr="005155D8" w:rsidRDefault="004C4AD5" w:rsidP="00D5423D">
            <w:pPr>
              <w:spacing w:after="0" w:line="288" w:lineRule="auto"/>
              <w:rPr>
                <w:b/>
                <w:bCs/>
                <w:sz w:val="22"/>
                <w:szCs w:val="22"/>
              </w:rPr>
            </w:pPr>
          </w:p>
        </w:tc>
      </w:tr>
      <w:tr w:rsidR="004C4AD5" w:rsidRPr="005155D8" w14:paraId="4BCDD7ED" w14:textId="77777777" w:rsidTr="001A56AA">
        <w:trPr>
          <w:trHeight w:val="2311"/>
          <w:jc w:val="center"/>
        </w:trPr>
        <w:tc>
          <w:tcPr>
            <w:tcW w:w="580" w:type="pct"/>
          </w:tcPr>
          <w:p w14:paraId="29EA1DC2" w14:textId="77777777" w:rsidR="004C4AD5" w:rsidRDefault="004C4AD5" w:rsidP="005155D8">
            <w:pPr>
              <w:spacing w:after="0" w:line="288" w:lineRule="auto"/>
              <w:rPr>
                <w:b/>
                <w:sz w:val="24"/>
                <w:szCs w:val="24"/>
              </w:rPr>
            </w:pPr>
            <w:r w:rsidRPr="00F265A9">
              <w:rPr>
                <w:b/>
                <w:sz w:val="24"/>
                <w:szCs w:val="24"/>
              </w:rPr>
              <w:lastRenderedPageBreak/>
              <w:t xml:space="preserve">Outcomes at exit </w:t>
            </w:r>
          </w:p>
          <w:p w14:paraId="140BA7D1" w14:textId="77777777" w:rsidR="004C4AD5" w:rsidRDefault="004C4AD5" w:rsidP="005155D8">
            <w:pPr>
              <w:spacing w:after="0" w:line="288" w:lineRule="auto"/>
              <w:rPr>
                <w:b/>
                <w:sz w:val="24"/>
                <w:szCs w:val="24"/>
              </w:rPr>
            </w:pPr>
          </w:p>
          <w:p w14:paraId="5D728699" w14:textId="15846B0E" w:rsidR="004C4AD5" w:rsidRPr="00F265A9" w:rsidRDefault="004C4AD5" w:rsidP="005155D8">
            <w:pPr>
              <w:spacing w:after="0" w:line="288" w:lineRule="auto"/>
              <w:rPr>
                <w:b/>
                <w:sz w:val="24"/>
                <w:szCs w:val="24"/>
              </w:rPr>
            </w:pPr>
            <w:r w:rsidRPr="00F265A9">
              <w:rPr>
                <w:b/>
                <w:sz w:val="24"/>
                <w:szCs w:val="24"/>
              </w:rPr>
              <w:t>– Unable to work</w:t>
            </w:r>
          </w:p>
        </w:tc>
        <w:tc>
          <w:tcPr>
            <w:tcW w:w="712" w:type="pct"/>
            <w:vMerge w:val="restart"/>
            <w:vAlign w:val="center"/>
          </w:tcPr>
          <w:p w14:paraId="1E31CB74" w14:textId="77777777" w:rsidR="004C4AD5" w:rsidRDefault="004C4AD5" w:rsidP="00604757">
            <w:pPr>
              <w:spacing w:after="0" w:line="288" w:lineRule="auto"/>
              <w:rPr>
                <w:sz w:val="22"/>
                <w:szCs w:val="22"/>
              </w:rPr>
            </w:pPr>
          </w:p>
          <w:p w14:paraId="0DA289BB" w14:textId="77777777" w:rsidR="004C4AD5" w:rsidRPr="005155D8" w:rsidRDefault="004C4AD5" w:rsidP="00604757">
            <w:pPr>
              <w:spacing w:after="0" w:line="288" w:lineRule="auto"/>
              <w:rPr>
                <w:sz w:val="22"/>
                <w:szCs w:val="22"/>
              </w:rPr>
            </w:pPr>
            <w:r w:rsidRPr="005155D8">
              <w:rPr>
                <w:sz w:val="22"/>
                <w:szCs w:val="22"/>
              </w:rPr>
              <w:t xml:space="preserve">Discussion began when SPs unsure how to record pregnant individuals, and people moving into credit programs that don’t start right away, or people hired but job hasn’t started yet </w:t>
            </w:r>
          </w:p>
        </w:tc>
        <w:tc>
          <w:tcPr>
            <w:tcW w:w="652" w:type="pct"/>
            <w:vMerge w:val="restart"/>
            <w:vAlign w:val="center"/>
          </w:tcPr>
          <w:p w14:paraId="7756E266" w14:textId="77777777" w:rsidR="004C4AD5" w:rsidRDefault="004C4AD5" w:rsidP="00604757">
            <w:pPr>
              <w:spacing w:after="0" w:line="288" w:lineRule="auto"/>
              <w:ind w:left="72"/>
              <w:rPr>
                <w:sz w:val="22"/>
                <w:szCs w:val="22"/>
              </w:rPr>
            </w:pPr>
          </w:p>
          <w:p w14:paraId="2F8A7EDC" w14:textId="77777777" w:rsidR="004C4AD5" w:rsidRPr="005155D8" w:rsidRDefault="004C4AD5" w:rsidP="00604757">
            <w:pPr>
              <w:spacing w:after="0" w:line="288" w:lineRule="auto"/>
              <w:ind w:left="72"/>
              <w:rPr>
                <w:sz w:val="22"/>
                <w:szCs w:val="22"/>
              </w:rPr>
            </w:pPr>
            <w:r w:rsidRPr="005155D8">
              <w:rPr>
                <w:sz w:val="22"/>
                <w:szCs w:val="22"/>
              </w:rPr>
              <w:t>Some recording these students as unable to work, some as unemployed</w:t>
            </w:r>
          </w:p>
        </w:tc>
        <w:tc>
          <w:tcPr>
            <w:tcW w:w="882" w:type="pct"/>
          </w:tcPr>
          <w:p w14:paraId="6F31930A" w14:textId="77777777" w:rsidR="004C4AD5" w:rsidRPr="005155D8" w:rsidRDefault="004C4AD5" w:rsidP="005155D8">
            <w:pPr>
              <w:spacing w:after="0" w:line="288" w:lineRule="auto"/>
              <w:ind w:left="72"/>
              <w:rPr>
                <w:b/>
                <w:bCs/>
                <w:sz w:val="22"/>
                <w:szCs w:val="22"/>
              </w:rPr>
            </w:pPr>
          </w:p>
        </w:tc>
        <w:tc>
          <w:tcPr>
            <w:tcW w:w="883" w:type="pct"/>
          </w:tcPr>
          <w:p w14:paraId="2AA9AD82" w14:textId="30CE4301" w:rsidR="004C4AD5" w:rsidRPr="00604757" w:rsidRDefault="004C4AD5" w:rsidP="00604757">
            <w:pPr>
              <w:spacing w:after="0" w:line="288" w:lineRule="auto"/>
              <w:ind w:left="72"/>
              <w:rPr>
                <w:sz w:val="22"/>
                <w:szCs w:val="22"/>
              </w:rPr>
            </w:pPr>
            <w:r w:rsidRPr="005155D8">
              <w:rPr>
                <w:sz w:val="22"/>
                <w:szCs w:val="22"/>
              </w:rPr>
              <w:t>Not able to work at the time of exit for physical or mental reasons, for example, on disability of some kind, or health reasons or other circumstances prevent person from working</w:t>
            </w:r>
            <w:r>
              <w:rPr>
                <w:sz w:val="22"/>
                <w:szCs w:val="22"/>
              </w:rPr>
              <w:t xml:space="preserve">.  </w:t>
            </w:r>
          </w:p>
        </w:tc>
        <w:tc>
          <w:tcPr>
            <w:tcW w:w="718" w:type="pct"/>
          </w:tcPr>
          <w:p w14:paraId="772AA3B2" w14:textId="77777777" w:rsidR="004C4AD5" w:rsidRDefault="004C4AD5" w:rsidP="005155D8">
            <w:pPr>
              <w:spacing w:after="0" w:line="288" w:lineRule="auto"/>
              <w:rPr>
                <w:sz w:val="22"/>
                <w:szCs w:val="22"/>
              </w:rPr>
            </w:pPr>
          </w:p>
          <w:p w14:paraId="4A72138A" w14:textId="633158DB" w:rsidR="004C4AD5" w:rsidRPr="005155D8" w:rsidRDefault="004C4AD5" w:rsidP="005155D8">
            <w:pPr>
              <w:spacing w:after="0" w:line="288" w:lineRule="auto"/>
              <w:rPr>
                <w:sz w:val="22"/>
                <w:szCs w:val="22"/>
              </w:rPr>
            </w:pPr>
            <w:r>
              <w:rPr>
                <w:sz w:val="22"/>
                <w:szCs w:val="22"/>
              </w:rPr>
              <w:t>Being pregnant does not mean “unable to work”, unless there are other health issues that means the person cannot work.</w:t>
            </w:r>
          </w:p>
        </w:tc>
        <w:tc>
          <w:tcPr>
            <w:tcW w:w="573" w:type="pct"/>
          </w:tcPr>
          <w:p w14:paraId="156481A2" w14:textId="77777777" w:rsidR="004C4AD5" w:rsidRPr="005155D8" w:rsidRDefault="004C4AD5" w:rsidP="005155D8">
            <w:pPr>
              <w:spacing w:after="0" w:line="288" w:lineRule="auto"/>
              <w:rPr>
                <w:b/>
                <w:bCs/>
                <w:sz w:val="22"/>
                <w:szCs w:val="22"/>
              </w:rPr>
            </w:pPr>
          </w:p>
        </w:tc>
      </w:tr>
      <w:tr w:rsidR="004C4AD5" w:rsidRPr="005155D8" w14:paraId="02931CA5" w14:textId="77777777" w:rsidTr="001A56AA">
        <w:trPr>
          <w:trHeight w:val="2340"/>
          <w:jc w:val="center"/>
        </w:trPr>
        <w:tc>
          <w:tcPr>
            <w:tcW w:w="580" w:type="pct"/>
          </w:tcPr>
          <w:p w14:paraId="32E18227" w14:textId="77777777" w:rsidR="004C4AD5" w:rsidRPr="00F265A9" w:rsidRDefault="004C4AD5" w:rsidP="005155D8">
            <w:pPr>
              <w:spacing w:after="0" w:line="288" w:lineRule="auto"/>
              <w:rPr>
                <w:b/>
                <w:sz w:val="24"/>
                <w:szCs w:val="24"/>
              </w:rPr>
            </w:pPr>
            <w:r w:rsidRPr="00F265A9">
              <w:rPr>
                <w:b/>
                <w:sz w:val="24"/>
                <w:szCs w:val="24"/>
              </w:rPr>
              <w:t>Outcomes at exit - Unemployed</w:t>
            </w:r>
          </w:p>
        </w:tc>
        <w:tc>
          <w:tcPr>
            <w:tcW w:w="712" w:type="pct"/>
            <w:vMerge/>
          </w:tcPr>
          <w:p w14:paraId="104AF0F5" w14:textId="77777777" w:rsidR="004C4AD5" w:rsidRPr="005155D8" w:rsidRDefault="004C4AD5" w:rsidP="005155D8">
            <w:pPr>
              <w:spacing w:after="0" w:line="288" w:lineRule="auto"/>
              <w:rPr>
                <w:sz w:val="22"/>
                <w:szCs w:val="22"/>
              </w:rPr>
            </w:pPr>
          </w:p>
        </w:tc>
        <w:tc>
          <w:tcPr>
            <w:tcW w:w="652" w:type="pct"/>
            <w:vMerge/>
          </w:tcPr>
          <w:p w14:paraId="260A91DD" w14:textId="77777777" w:rsidR="004C4AD5" w:rsidRPr="005155D8" w:rsidRDefault="004C4AD5" w:rsidP="005155D8">
            <w:pPr>
              <w:spacing w:after="0" w:line="288" w:lineRule="auto"/>
              <w:ind w:left="72"/>
              <w:rPr>
                <w:sz w:val="22"/>
                <w:szCs w:val="22"/>
              </w:rPr>
            </w:pPr>
          </w:p>
        </w:tc>
        <w:tc>
          <w:tcPr>
            <w:tcW w:w="882" w:type="pct"/>
          </w:tcPr>
          <w:p w14:paraId="7E8AA139" w14:textId="77777777" w:rsidR="004C4AD5" w:rsidRPr="005155D8" w:rsidRDefault="004C4AD5" w:rsidP="005155D8">
            <w:pPr>
              <w:spacing w:after="0" w:line="288" w:lineRule="auto"/>
              <w:ind w:left="72"/>
              <w:rPr>
                <w:b/>
                <w:bCs/>
                <w:sz w:val="22"/>
                <w:szCs w:val="22"/>
              </w:rPr>
            </w:pPr>
          </w:p>
        </w:tc>
        <w:tc>
          <w:tcPr>
            <w:tcW w:w="883" w:type="pct"/>
          </w:tcPr>
          <w:p w14:paraId="27581506" w14:textId="77777777" w:rsidR="004C4AD5" w:rsidRDefault="004C4AD5" w:rsidP="005155D8">
            <w:pPr>
              <w:spacing w:after="0" w:line="288" w:lineRule="auto"/>
              <w:ind w:left="72"/>
              <w:rPr>
                <w:sz w:val="22"/>
                <w:szCs w:val="22"/>
              </w:rPr>
            </w:pPr>
            <w:r w:rsidRPr="005155D8">
              <w:rPr>
                <w:sz w:val="22"/>
                <w:szCs w:val="22"/>
              </w:rPr>
              <w:t>Physically and mentally able to work and no extenuating circumstances, but doesn’t have a job at the time of exit</w:t>
            </w:r>
            <w:r>
              <w:rPr>
                <w:sz w:val="22"/>
                <w:szCs w:val="22"/>
              </w:rPr>
              <w:t xml:space="preserve">.  </w:t>
            </w:r>
          </w:p>
          <w:p w14:paraId="792B50D5" w14:textId="77777777" w:rsidR="004C4AD5" w:rsidRPr="005155D8" w:rsidRDefault="004C4AD5" w:rsidP="005155D8">
            <w:pPr>
              <w:spacing w:after="0" w:line="288" w:lineRule="auto"/>
              <w:ind w:left="72"/>
              <w:rPr>
                <w:b/>
                <w:bCs/>
                <w:sz w:val="22"/>
                <w:szCs w:val="22"/>
              </w:rPr>
            </w:pPr>
            <w:r>
              <w:rPr>
                <w:sz w:val="22"/>
                <w:szCs w:val="22"/>
              </w:rPr>
              <w:t>This can include pregnant people who are not on Employment Insurance.</w:t>
            </w:r>
          </w:p>
        </w:tc>
        <w:tc>
          <w:tcPr>
            <w:tcW w:w="718" w:type="pct"/>
          </w:tcPr>
          <w:p w14:paraId="0DC8EA6D" w14:textId="39D6DCAD" w:rsidR="004C4AD5" w:rsidRPr="005155D8" w:rsidRDefault="004C4AD5" w:rsidP="005155D8">
            <w:pPr>
              <w:spacing w:after="0" w:line="288" w:lineRule="auto"/>
              <w:rPr>
                <w:sz w:val="22"/>
                <w:szCs w:val="22"/>
              </w:rPr>
            </w:pPr>
            <w:r>
              <w:rPr>
                <w:sz w:val="22"/>
                <w:szCs w:val="22"/>
              </w:rPr>
              <w:t>These people are truly unemployed.</w:t>
            </w:r>
          </w:p>
        </w:tc>
        <w:tc>
          <w:tcPr>
            <w:tcW w:w="573" w:type="pct"/>
          </w:tcPr>
          <w:p w14:paraId="6FD61290" w14:textId="77777777" w:rsidR="004C4AD5" w:rsidRPr="005155D8" w:rsidRDefault="004C4AD5" w:rsidP="005155D8">
            <w:pPr>
              <w:spacing w:after="0" w:line="288" w:lineRule="auto"/>
              <w:rPr>
                <w:b/>
                <w:bCs/>
                <w:sz w:val="22"/>
                <w:szCs w:val="22"/>
              </w:rPr>
            </w:pPr>
          </w:p>
        </w:tc>
      </w:tr>
      <w:tr w:rsidR="004C4AD5" w:rsidRPr="005155D8" w14:paraId="2AE3DE56" w14:textId="77777777" w:rsidTr="001A56AA">
        <w:trPr>
          <w:trHeight w:val="3150"/>
          <w:jc w:val="center"/>
        </w:trPr>
        <w:tc>
          <w:tcPr>
            <w:tcW w:w="580" w:type="pct"/>
          </w:tcPr>
          <w:p w14:paraId="60BEA302" w14:textId="77777777" w:rsidR="004C4AD5" w:rsidRPr="00F265A9" w:rsidRDefault="004C4AD5" w:rsidP="005155D8">
            <w:pPr>
              <w:spacing w:after="0" w:line="288" w:lineRule="auto"/>
              <w:rPr>
                <w:b/>
                <w:sz w:val="24"/>
                <w:szCs w:val="24"/>
              </w:rPr>
            </w:pPr>
            <w:r w:rsidRPr="00F265A9">
              <w:rPr>
                <w:b/>
                <w:sz w:val="24"/>
                <w:szCs w:val="24"/>
              </w:rPr>
              <w:t>Outcomes at exit - Employed</w:t>
            </w:r>
          </w:p>
        </w:tc>
        <w:tc>
          <w:tcPr>
            <w:tcW w:w="712" w:type="pct"/>
            <w:vMerge/>
          </w:tcPr>
          <w:p w14:paraId="0C805EFF" w14:textId="77777777" w:rsidR="004C4AD5" w:rsidRPr="005155D8" w:rsidRDefault="004C4AD5" w:rsidP="005155D8">
            <w:pPr>
              <w:spacing w:after="0" w:line="288" w:lineRule="auto"/>
              <w:rPr>
                <w:sz w:val="22"/>
                <w:szCs w:val="22"/>
              </w:rPr>
            </w:pPr>
          </w:p>
        </w:tc>
        <w:tc>
          <w:tcPr>
            <w:tcW w:w="652" w:type="pct"/>
            <w:vMerge/>
          </w:tcPr>
          <w:p w14:paraId="33C909E5" w14:textId="77777777" w:rsidR="004C4AD5" w:rsidRPr="005155D8" w:rsidRDefault="004C4AD5" w:rsidP="005155D8">
            <w:pPr>
              <w:spacing w:after="0" w:line="288" w:lineRule="auto"/>
              <w:ind w:left="72"/>
              <w:rPr>
                <w:sz w:val="22"/>
                <w:szCs w:val="22"/>
              </w:rPr>
            </w:pPr>
          </w:p>
        </w:tc>
        <w:tc>
          <w:tcPr>
            <w:tcW w:w="882" w:type="pct"/>
          </w:tcPr>
          <w:p w14:paraId="428D64F1" w14:textId="77777777" w:rsidR="004C4AD5" w:rsidRPr="005155D8" w:rsidRDefault="004C4AD5" w:rsidP="005155D8">
            <w:pPr>
              <w:spacing w:after="0" w:line="288" w:lineRule="auto"/>
              <w:ind w:left="72"/>
              <w:rPr>
                <w:b/>
                <w:bCs/>
                <w:sz w:val="22"/>
                <w:szCs w:val="22"/>
              </w:rPr>
            </w:pPr>
          </w:p>
        </w:tc>
        <w:tc>
          <w:tcPr>
            <w:tcW w:w="883" w:type="pct"/>
          </w:tcPr>
          <w:p w14:paraId="456647B8" w14:textId="77777777" w:rsidR="004C4AD5" w:rsidRPr="005155D8" w:rsidRDefault="004C4AD5" w:rsidP="005155D8">
            <w:pPr>
              <w:spacing w:after="0" w:line="288" w:lineRule="auto"/>
              <w:rPr>
                <w:sz w:val="22"/>
                <w:szCs w:val="22"/>
              </w:rPr>
            </w:pPr>
            <w:r w:rsidRPr="005155D8">
              <w:rPr>
                <w:sz w:val="22"/>
                <w:szCs w:val="22"/>
              </w:rPr>
              <w:t>If person has been hired but job hasn’t started yet, they are “employed”.</w:t>
            </w:r>
          </w:p>
          <w:p w14:paraId="02DC99D1" w14:textId="77777777" w:rsidR="004C4AD5" w:rsidRDefault="004C4AD5" w:rsidP="005155D8">
            <w:pPr>
              <w:spacing w:after="0" w:line="288" w:lineRule="auto"/>
              <w:ind w:left="72"/>
              <w:rPr>
                <w:b/>
                <w:sz w:val="22"/>
                <w:szCs w:val="22"/>
              </w:rPr>
            </w:pPr>
          </w:p>
          <w:p w14:paraId="7FDA3355" w14:textId="77777777" w:rsidR="004C4AD5" w:rsidRPr="005155D8" w:rsidRDefault="004C4AD5" w:rsidP="005155D8">
            <w:pPr>
              <w:spacing w:after="0" w:line="288" w:lineRule="auto"/>
              <w:ind w:left="72"/>
              <w:rPr>
                <w:b/>
                <w:bCs/>
                <w:sz w:val="22"/>
                <w:szCs w:val="22"/>
              </w:rPr>
            </w:pPr>
            <w:r w:rsidRPr="00604757">
              <w:rPr>
                <w:b/>
                <w:sz w:val="22"/>
                <w:szCs w:val="22"/>
              </w:rPr>
              <w:t>NOTE</w:t>
            </w:r>
            <w:r w:rsidRPr="005155D8">
              <w:rPr>
                <w:sz w:val="22"/>
                <w:szCs w:val="22"/>
              </w:rPr>
              <w:t xml:space="preserve">: LBS providers would like to be able to include “employable” in this category but this is not allowed </w:t>
            </w:r>
            <w:r>
              <w:rPr>
                <w:sz w:val="22"/>
                <w:szCs w:val="22"/>
              </w:rPr>
              <w:t xml:space="preserve">in CaMS </w:t>
            </w:r>
            <w:r w:rsidRPr="005155D8">
              <w:rPr>
                <w:sz w:val="22"/>
                <w:szCs w:val="22"/>
              </w:rPr>
              <w:t>at this time.</w:t>
            </w:r>
          </w:p>
        </w:tc>
        <w:tc>
          <w:tcPr>
            <w:tcW w:w="718" w:type="pct"/>
          </w:tcPr>
          <w:p w14:paraId="70F04DBF" w14:textId="1458D971" w:rsidR="004C4AD5" w:rsidRPr="005155D8" w:rsidRDefault="004C4AD5" w:rsidP="005155D8">
            <w:pPr>
              <w:spacing w:after="0" w:line="288" w:lineRule="auto"/>
              <w:rPr>
                <w:sz w:val="22"/>
                <w:szCs w:val="22"/>
              </w:rPr>
            </w:pPr>
            <w:r>
              <w:rPr>
                <w:sz w:val="22"/>
                <w:szCs w:val="22"/>
              </w:rPr>
              <w:t>Valid employed outcome – person has accepted offer of employment.</w:t>
            </w:r>
          </w:p>
        </w:tc>
        <w:tc>
          <w:tcPr>
            <w:tcW w:w="573" w:type="pct"/>
          </w:tcPr>
          <w:p w14:paraId="4DE37A9E" w14:textId="77777777" w:rsidR="004C4AD5" w:rsidRPr="005155D8" w:rsidRDefault="004C4AD5" w:rsidP="005155D8">
            <w:pPr>
              <w:spacing w:after="0" w:line="288" w:lineRule="auto"/>
              <w:rPr>
                <w:b/>
                <w:bCs/>
                <w:sz w:val="22"/>
                <w:szCs w:val="22"/>
              </w:rPr>
            </w:pPr>
          </w:p>
        </w:tc>
      </w:tr>
      <w:tr w:rsidR="004C4AD5" w:rsidRPr="005155D8" w14:paraId="46DA6D0F" w14:textId="77777777" w:rsidTr="001A56AA">
        <w:trPr>
          <w:trHeight w:val="74"/>
          <w:jc w:val="center"/>
        </w:trPr>
        <w:tc>
          <w:tcPr>
            <w:tcW w:w="580" w:type="pct"/>
          </w:tcPr>
          <w:p w14:paraId="02D5420B" w14:textId="77777777" w:rsidR="004C4AD5" w:rsidRPr="00F265A9" w:rsidRDefault="004C4AD5" w:rsidP="005155D8">
            <w:pPr>
              <w:spacing w:after="0" w:line="288" w:lineRule="auto"/>
              <w:rPr>
                <w:b/>
                <w:sz w:val="24"/>
                <w:szCs w:val="24"/>
              </w:rPr>
            </w:pPr>
            <w:r w:rsidRPr="00F265A9">
              <w:rPr>
                <w:b/>
                <w:sz w:val="24"/>
                <w:szCs w:val="24"/>
              </w:rPr>
              <w:lastRenderedPageBreak/>
              <w:t>Referred out – Registered in…….</w:t>
            </w:r>
          </w:p>
        </w:tc>
        <w:tc>
          <w:tcPr>
            <w:tcW w:w="712" w:type="pct"/>
          </w:tcPr>
          <w:p w14:paraId="4A534755" w14:textId="77777777" w:rsidR="004C4AD5" w:rsidRPr="005155D8" w:rsidRDefault="004C4AD5" w:rsidP="00367A19">
            <w:pPr>
              <w:spacing w:after="0" w:line="288" w:lineRule="auto"/>
              <w:rPr>
                <w:sz w:val="22"/>
                <w:szCs w:val="22"/>
              </w:rPr>
            </w:pPr>
            <w:r w:rsidRPr="005155D8">
              <w:rPr>
                <w:sz w:val="22"/>
                <w:szCs w:val="22"/>
              </w:rPr>
              <w:t xml:space="preserve">Question whether the learner referred has to actually be registered and receiving the referral partner’s services or if making the referral is enough to count on the DSQ.  We have been told that making the referral is enough; however, our agreement this year says the referred learner has to have been received/in receipt of service. </w:t>
            </w:r>
          </w:p>
          <w:p w14:paraId="77E46F94" w14:textId="77777777" w:rsidR="004C4AD5" w:rsidRPr="005155D8" w:rsidRDefault="004C4AD5" w:rsidP="005155D8">
            <w:pPr>
              <w:spacing w:after="0" w:line="288" w:lineRule="auto"/>
              <w:rPr>
                <w:sz w:val="22"/>
                <w:szCs w:val="22"/>
                <w:highlight w:val="yellow"/>
              </w:rPr>
            </w:pPr>
          </w:p>
        </w:tc>
        <w:tc>
          <w:tcPr>
            <w:tcW w:w="652" w:type="pct"/>
          </w:tcPr>
          <w:p w14:paraId="11998099" w14:textId="77777777" w:rsidR="004C4AD5" w:rsidRPr="005155D8" w:rsidRDefault="004C4AD5" w:rsidP="005155D8">
            <w:pPr>
              <w:spacing w:after="0" w:line="288" w:lineRule="auto"/>
              <w:ind w:left="69"/>
              <w:rPr>
                <w:sz w:val="22"/>
                <w:szCs w:val="22"/>
              </w:rPr>
            </w:pPr>
            <w:r w:rsidRPr="005155D8">
              <w:rPr>
                <w:sz w:val="22"/>
                <w:szCs w:val="22"/>
              </w:rPr>
              <w:t>Inconsistent – some SP think they need confirmation of actually registered in AND receiving services, other are OK with knowing the learner just made contact.</w:t>
            </w:r>
          </w:p>
          <w:p w14:paraId="48E71C90" w14:textId="77777777" w:rsidR="004C4AD5" w:rsidRPr="005155D8" w:rsidRDefault="004C4AD5" w:rsidP="005155D8">
            <w:pPr>
              <w:spacing w:after="0" w:line="288" w:lineRule="auto"/>
              <w:ind w:left="69"/>
              <w:rPr>
                <w:sz w:val="22"/>
                <w:szCs w:val="22"/>
              </w:rPr>
            </w:pPr>
          </w:p>
          <w:p w14:paraId="653F95E1" w14:textId="77777777" w:rsidR="004C4AD5" w:rsidRPr="005155D8" w:rsidRDefault="004C4AD5" w:rsidP="005155D8">
            <w:pPr>
              <w:spacing w:after="0" w:line="288" w:lineRule="auto"/>
              <w:ind w:left="69"/>
              <w:rPr>
                <w:b/>
                <w:bCs/>
                <w:sz w:val="22"/>
                <w:szCs w:val="22"/>
              </w:rPr>
            </w:pPr>
            <w:r w:rsidRPr="005155D8">
              <w:rPr>
                <w:sz w:val="22"/>
                <w:szCs w:val="22"/>
              </w:rPr>
              <w:t xml:space="preserve">Need consistent definition of  " received" – e.g. that the learner made contact </w:t>
            </w:r>
          </w:p>
        </w:tc>
        <w:tc>
          <w:tcPr>
            <w:tcW w:w="882" w:type="pct"/>
          </w:tcPr>
          <w:p w14:paraId="5365C336" w14:textId="77777777" w:rsidR="004C4AD5" w:rsidRPr="005155D8" w:rsidRDefault="004C4AD5" w:rsidP="005155D8">
            <w:pPr>
              <w:spacing w:after="0" w:line="288" w:lineRule="auto"/>
              <w:ind w:left="67"/>
              <w:rPr>
                <w:sz w:val="22"/>
                <w:szCs w:val="22"/>
              </w:rPr>
            </w:pPr>
            <w:r w:rsidRPr="005155D8">
              <w:rPr>
                <w:sz w:val="22"/>
                <w:szCs w:val="22"/>
              </w:rPr>
              <w:t>LBS Agreement</w:t>
            </w:r>
          </w:p>
          <w:p w14:paraId="01FECCBB" w14:textId="77777777" w:rsidR="004C4AD5" w:rsidRPr="005155D8" w:rsidRDefault="004C4AD5" w:rsidP="005155D8">
            <w:pPr>
              <w:spacing w:after="0" w:line="288" w:lineRule="auto"/>
              <w:ind w:left="67"/>
              <w:rPr>
                <w:sz w:val="22"/>
                <w:szCs w:val="22"/>
              </w:rPr>
            </w:pPr>
          </w:p>
          <w:p w14:paraId="2700DACE" w14:textId="77777777" w:rsidR="004C4AD5" w:rsidRPr="005155D8" w:rsidRDefault="004C4AD5" w:rsidP="005155D8">
            <w:pPr>
              <w:spacing w:after="0" w:line="288" w:lineRule="auto"/>
              <w:rPr>
                <w:sz w:val="22"/>
                <w:szCs w:val="22"/>
              </w:rPr>
            </w:pPr>
            <w:r w:rsidRPr="00DE6EA5">
              <w:rPr>
                <w:b/>
                <w:sz w:val="22"/>
                <w:szCs w:val="22"/>
              </w:rPr>
              <w:t>Confirmed by Central Region-Barrie ETCs</w:t>
            </w:r>
            <w:r w:rsidRPr="005155D8">
              <w:rPr>
                <w:sz w:val="22"/>
                <w:szCs w:val="22"/>
              </w:rPr>
              <w:t xml:space="preserve">: Just need proof that </w:t>
            </w:r>
            <w:r w:rsidRPr="005155D8">
              <w:rPr>
                <w:b/>
                <w:bCs/>
                <w:sz w:val="22"/>
                <w:szCs w:val="22"/>
              </w:rPr>
              <w:t>contact was made</w:t>
            </w:r>
            <w:r w:rsidRPr="005155D8">
              <w:rPr>
                <w:sz w:val="22"/>
                <w:szCs w:val="22"/>
              </w:rPr>
              <w:t xml:space="preserve"> - verbal or written - from the learner or the referral partner.</w:t>
            </w:r>
          </w:p>
          <w:p w14:paraId="66D6E581" w14:textId="77777777" w:rsidR="004C4AD5" w:rsidRPr="005155D8" w:rsidRDefault="004C4AD5" w:rsidP="005155D8">
            <w:pPr>
              <w:spacing w:after="0" w:line="288" w:lineRule="auto"/>
              <w:ind w:left="67"/>
              <w:rPr>
                <w:sz w:val="22"/>
                <w:szCs w:val="22"/>
              </w:rPr>
            </w:pPr>
          </w:p>
        </w:tc>
        <w:tc>
          <w:tcPr>
            <w:tcW w:w="883" w:type="pct"/>
          </w:tcPr>
          <w:p w14:paraId="5D2F8072" w14:textId="73ED5A59" w:rsidR="004C4AD5" w:rsidRPr="005155D8" w:rsidRDefault="004C4AD5" w:rsidP="005155D8">
            <w:pPr>
              <w:spacing w:after="0" w:line="288" w:lineRule="auto"/>
              <w:ind w:left="72"/>
              <w:rPr>
                <w:sz w:val="22"/>
                <w:szCs w:val="22"/>
              </w:rPr>
            </w:pPr>
            <w:r w:rsidRPr="005155D8">
              <w:rPr>
                <w:sz w:val="22"/>
                <w:szCs w:val="22"/>
              </w:rPr>
              <w:t xml:space="preserve">As per confirmation, formal referral out just needs confirmation that contact was made with the referral partner.  Confirmation can come from the learner or the referral partner.  It can be verbal, a business card, returned referral form, etc. – protocol developed with </w:t>
            </w:r>
            <w:r>
              <w:rPr>
                <w:sz w:val="22"/>
                <w:szCs w:val="22"/>
              </w:rPr>
              <w:t xml:space="preserve">each </w:t>
            </w:r>
            <w:r w:rsidRPr="005155D8">
              <w:rPr>
                <w:sz w:val="22"/>
                <w:szCs w:val="22"/>
              </w:rPr>
              <w:t>referral partner.</w:t>
            </w:r>
          </w:p>
        </w:tc>
        <w:tc>
          <w:tcPr>
            <w:tcW w:w="718" w:type="pct"/>
          </w:tcPr>
          <w:p w14:paraId="025F758D" w14:textId="77777777" w:rsidR="004C4AD5" w:rsidRDefault="004C4AD5" w:rsidP="00367A19">
            <w:pPr>
              <w:spacing w:after="0" w:line="288" w:lineRule="auto"/>
              <w:rPr>
                <w:sz w:val="22"/>
                <w:szCs w:val="22"/>
              </w:rPr>
            </w:pPr>
            <w:r w:rsidRPr="00DE6EA5">
              <w:rPr>
                <w:b/>
                <w:sz w:val="22"/>
                <w:szCs w:val="22"/>
              </w:rPr>
              <w:t>Example</w:t>
            </w:r>
            <w:r w:rsidRPr="005155D8">
              <w:rPr>
                <w:sz w:val="22"/>
                <w:szCs w:val="22"/>
              </w:rPr>
              <w:t xml:space="preserve">: if school board LBS learner is referred to secondary credits, exits for the summer, they can’t register until September but still a good referral has been made and need to close their file and count as formal referral. </w:t>
            </w:r>
          </w:p>
          <w:p w14:paraId="232D576D" w14:textId="77777777" w:rsidR="004C4AD5" w:rsidRPr="005155D8" w:rsidRDefault="004C4AD5" w:rsidP="00367A19">
            <w:pPr>
              <w:spacing w:after="0" w:line="288" w:lineRule="auto"/>
              <w:rPr>
                <w:sz w:val="22"/>
                <w:szCs w:val="22"/>
              </w:rPr>
            </w:pPr>
          </w:p>
          <w:p w14:paraId="1D7FA2BB" w14:textId="77777777" w:rsidR="004C4AD5" w:rsidRPr="005155D8" w:rsidRDefault="004C4AD5" w:rsidP="00367A19">
            <w:pPr>
              <w:spacing w:after="0" w:line="288" w:lineRule="auto"/>
              <w:rPr>
                <w:sz w:val="22"/>
                <w:szCs w:val="22"/>
              </w:rPr>
            </w:pPr>
            <w:r w:rsidRPr="00DE6EA5">
              <w:rPr>
                <w:b/>
                <w:sz w:val="22"/>
                <w:szCs w:val="22"/>
              </w:rPr>
              <w:t>Example</w:t>
            </w:r>
            <w:r w:rsidRPr="005155D8">
              <w:rPr>
                <w:sz w:val="22"/>
                <w:szCs w:val="22"/>
              </w:rPr>
              <w:t>: referred to community service on exit – highly unlikely learner will return to let you know they have made contact, and often community service won’t confirm either.</w:t>
            </w:r>
            <w:r>
              <w:rPr>
                <w:sz w:val="22"/>
                <w:szCs w:val="22"/>
              </w:rPr>
              <w:t xml:space="preserve">  However, may be able to find out in follow-up.</w:t>
            </w:r>
          </w:p>
        </w:tc>
        <w:tc>
          <w:tcPr>
            <w:tcW w:w="573" w:type="pct"/>
          </w:tcPr>
          <w:p w14:paraId="449297E8" w14:textId="77777777" w:rsidR="004C4AD5" w:rsidRPr="005155D8" w:rsidRDefault="004C4AD5" w:rsidP="005155D8">
            <w:pPr>
              <w:spacing w:after="0" w:line="288" w:lineRule="auto"/>
              <w:rPr>
                <w:b/>
                <w:bCs/>
                <w:sz w:val="22"/>
                <w:szCs w:val="22"/>
              </w:rPr>
            </w:pPr>
          </w:p>
        </w:tc>
      </w:tr>
      <w:tr w:rsidR="001A56AA" w:rsidRPr="003B507D" w14:paraId="07EAE812" w14:textId="77777777" w:rsidTr="001A56AA">
        <w:trPr>
          <w:trHeight w:val="594"/>
          <w:jc w:val="center"/>
        </w:trPr>
        <w:tc>
          <w:tcPr>
            <w:tcW w:w="580" w:type="pct"/>
          </w:tcPr>
          <w:p w14:paraId="479858B6" w14:textId="69DA5B5E" w:rsidR="001A4CC1" w:rsidRPr="003B507D" w:rsidRDefault="00465E0A" w:rsidP="005155D8">
            <w:pPr>
              <w:spacing w:after="0" w:line="288" w:lineRule="auto"/>
              <w:rPr>
                <w:b/>
                <w:color w:val="004DC7"/>
                <w:sz w:val="24"/>
                <w:szCs w:val="24"/>
                <w:highlight w:val="yellow"/>
              </w:rPr>
            </w:pPr>
            <w:r w:rsidRPr="003B507D">
              <w:rPr>
                <w:b/>
                <w:color w:val="004DC7"/>
                <w:sz w:val="24"/>
                <w:szCs w:val="24"/>
              </w:rPr>
              <w:t>Culminating task – response options</w:t>
            </w:r>
          </w:p>
        </w:tc>
        <w:tc>
          <w:tcPr>
            <w:tcW w:w="712" w:type="pct"/>
          </w:tcPr>
          <w:p w14:paraId="3A901483" w14:textId="4CE7295D" w:rsidR="001A4CC1" w:rsidRPr="003B507D" w:rsidRDefault="00465E0A" w:rsidP="00151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4DC7"/>
                <w:sz w:val="22"/>
                <w:szCs w:val="22"/>
                <w:lang w:val="en-US" w:eastAsia="en-US"/>
              </w:rPr>
            </w:pPr>
            <w:r w:rsidRPr="003B507D">
              <w:rPr>
                <w:color w:val="004DC7"/>
                <w:sz w:val="22"/>
                <w:szCs w:val="22"/>
                <w:lang w:val="en-US" w:eastAsia="en-US"/>
              </w:rPr>
              <w:t xml:space="preserve">RE: the question whether learner has completed the culminating task, choices in CaMS are: yes, no, no response.  There was discussion </w:t>
            </w:r>
            <w:r w:rsidRPr="003B507D">
              <w:rPr>
                <w:color w:val="004DC7"/>
                <w:sz w:val="22"/>
                <w:szCs w:val="22"/>
                <w:lang w:val="en-US" w:eastAsia="en-US"/>
              </w:rPr>
              <w:lastRenderedPageBreak/>
              <w:t>around how people are using the “no response” option.</w:t>
            </w:r>
          </w:p>
        </w:tc>
        <w:tc>
          <w:tcPr>
            <w:tcW w:w="652" w:type="pct"/>
          </w:tcPr>
          <w:p w14:paraId="446FA9A0" w14:textId="19414AE6" w:rsidR="001A4CC1" w:rsidRPr="003B507D" w:rsidRDefault="00465E0A" w:rsidP="00465E0A">
            <w:pPr>
              <w:spacing w:after="0" w:line="288" w:lineRule="auto"/>
              <w:rPr>
                <w:color w:val="004DC7"/>
                <w:sz w:val="22"/>
                <w:szCs w:val="22"/>
                <w:lang w:val="en-US"/>
              </w:rPr>
            </w:pPr>
            <w:r w:rsidRPr="003B507D">
              <w:rPr>
                <w:rFonts w:ascii="Century Schoolbook" w:hAnsi="Century Schoolbook"/>
                <w:color w:val="004DC7"/>
                <w:sz w:val="22"/>
              </w:rPr>
              <w:lastRenderedPageBreak/>
              <w:t xml:space="preserve">Some use it when the learner did not attempt the culminating task, or when the learner </w:t>
            </w:r>
            <w:r w:rsidRPr="003B507D">
              <w:rPr>
                <w:rFonts w:ascii="Century Schoolbook" w:hAnsi="Century Schoolbook"/>
                <w:color w:val="004DC7"/>
                <w:sz w:val="22"/>
              </w:rPr>
              <w:lastRenderedPageBreak/>
              <w:t xml:space="preserve">doesn’t show up for the exit interview. </w:t>
            </w:r>
          </w:p>
        </w:tc>
        <w:tc>
          <w:tcPr>
            <w:tcW w:w="882" w:type="pct"/>
          </w:tcPr>
          <w:p w14:paraId="0ACB3645" w14:textId="77777777" w:rsidR="001A4CC1" w:rsidRPr="003B507D" w:rsidRDefault="001A4CC1" w:rsidP="005155D8">
            <w:pPr>
              <w:spacing w:after="0" w:line="288" w:lineRule="auto"/>
              <w:rPr>
                <w:color w:val="004DC7"/>
                <w:sz w:val="22"/>
                <w:szCs w:val="22"/>
              </w:rPr>
            </w:pPr>
          </w:p>
        </w:tc>
        <w:tc>
          <w:tcPr>
            <w:tcW w:w="883" w:type="pct"/>
          </w:tcPr>
          <w:p w14:paraId="441B8B02" w14:textId="02FA682B" w:rsidR="00465E0A" w:rsidRPr="003B507D" w:rsidRDefault="00465E0A" w:rsidP="00465E0A">
            <w:pPr>
              <w:pStyle w:val="ListParagraph"/>
              <w:spacing w:line="312" w:lineRule="auto"/>
              <w:ind w:left="0"/>
              <w:contextualSpacing w:val="0"/>
              <w:jc w:val="both"/>
              <w:rPr>
                <w:rFonts w:ascii="Century Schoolbook" w:hAnsi="Century Schoolbook"/>
                <w:b/>
                <w:color w:val="004DC7"/>
                <w:sz w:val="22"/>
              </w:rPr>
            </w:pPr>
            <w:r w:rsidRPr="003B507D">
              <w:rPr>
                <w:rFonts w:ascii="Century Schoolbook" w:hAnsi="Century Schoolbook"/>
                <w:b/>
                <w:color w:val="004DC7"/>
                <w:sz w:val="22"/>
              </w:rPr>
              <w:t xml:space="preserve">Decision to use Yes and No options only. </w:t>
            </w:r>
          </w:p>
          <w:p w14:paraId="30EDB20F" w14:textId="77777777" w:rsidR="001A4CC1" w:rsidRPr="003B507D" w:rsidRDefault="001A4CC1" w:rsidP="005155D8">
            <w:pPr>
              <w:keepNext/>
              <w:keepLines/>
              <w:spacing w:after="0" w:line="288" w:lineRule="auto"/>
              <w:outlineLvl w:val="5"/>
              <w:rPr>
                <w:color w:val="004DC7"/>
                <w:sz w:val="22"/>
                <w:szCs w:val="22"/>
              </w:rPr>
            </w:pPr>
          </w:p>
        </w:tc>
        <w:tc>
          <w:tcPr>
            <w:tcW w:w="718" w:type="pct"/>
          </w:tcPr>
          <w:p w14:paraId="29D4BDBF" w14:textId="78E31B30" w:rsidR="001A4CC1" w:rsidRPr="003B507D" w:rsidRDefault="00465E0A" w:rsidP="005155D8">
            <w:pPr>
              <w:spacing w:after="0" w:line="288" w:lineRule="auto"/>
              <w:rPr>
                <w:color w:val="004DC7"/>
                <w:sz w:val="22"/>
                <w:szCs w:val="22"/>
              </w:rPr>
            </w:pPr>
            <w:r w:rsidRPr="003B507D">
              <w:rPr>
                <w:rFonts w:ascii="Century Schoolbook" w:hAnsi="Century Schoolbook"/>
                <w:color w:val="004DC7"/>
                <w:sz w:val="22"/>
              </w:rPr>
              <w:t xml:space="preserve">Only the number of “Yes” responses count on the DSQR. Is there really a need to track “No” (completed but not attained) and “no </w:t>
            </w:r>
            <w:r w:rsidRPr="003B507D">
              <w:rPr>
                <w:rFonts w:ascii="Century Schoolbook" w:hAnsi="Century Schoolbook"/>
                <w:color w:val="004DC7"/>
                <w:sz w:val="22"/>
              </w:rPr>
              <w:lastRenderedPageBreak/>
              <w:t xml:space="preserve">response”? Culminating Tasks are not being done that often.  The college checks in to determine whether there are appropriate for any learners.  No one at SMLN agencies the table has used “No response” since the discussion at the LSPC tables in January.  </w:t>
            </w:r>
          </w:p>
        </w:tc>
        <w:tc>
          <w:tcPr>
            <w:tcW w:w="573" w:type="pct"/>
          </w:tcPr>
          <w:p w14:paraId="6180091F" w14:textId="77777777" w:rsidR="001A4CC1" w:rsidRPr="003B507D" w:rsidRDefault="001A4CC1" w:rsidP="005155D8">
            <w:pPr>
              <w:spacing w:after="0" w:line="288" w:lineRule="auto"/>
              <w:rPr>
                <w:b/>
                <w:bCs/>
                <w:color w:val="004DC7"/>
                <w:sz w:val="22"/>
                <w:szCs w:val="22"/>
              </w:rPr>
            </w:pPr>
          </w:p>
        </w:tc>
      </w:tr>
      <w:tr w:rsidR="00D0463A" w:rsidRPr="00D0463A" w14:paraId="091A1D5A" w14:textId="77777777" w:rsidTr="001A56AA">
        <w:trPr>
          <w:trHeight w:val="594"/>
          <w:jc w:val="center"/>
        </w:trPr>
        <w:tc>
          <w:tcPr>
            <w:tcW w:w="580" w:type="pct"/>
          </w:tcPr>
          <w:p w14:paraId="70F1A1D3" w14:textId="56C1BD02" w:rsidR="001A4CC1" w:rsidRPr="00D0463A" w:rsidRDefault="00832753" w:rsidP="005155D8">
            <w:pPr>
              <w:spacing w:after="0" w:line="288" w:lineRule="auto"/>
              <w:rPr>
                <w:b/>
                <w:color w:val="004DC7"/>
                <w:sz w:val="24"/>
                <w:szCs w:val="24"/>
              </w:rPr>
            </w:pPr>
            <w:r w:rsidRPr="00D0463A">
              <w:rPr>
                <w:b/>
                <w:color w:val="004DC7"/>
                <w:sz w:val="24"/>
                <w:szCs w:val="24"/>
              </w:rPr>
              <w:t>Deceased learners</w:t>
            </w:r>
          </w:p>
        </w:tc>
        <w:tc>
          <w:tcPr>
            <w:tcW w:w="712" w:type="pct"/>
          </w:tcPr>
          <w:p w14:paraId="00DA1125" w14:textId="617CEC56" w:rsidR="001A4CC1" w:rsidRPr="00D0463A" w:rsidRDefault="00832753" w:rsidP="00151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4DC7"/>
                <w:sz w:val="22"/>
                <w:szCs w:val="22"/>
                <w:lang w:val="en-US" w:eastAsia="en-US"/>
              </w:rPr>
            </w:pPr>
            <w:r w:rsidRPr="00D0463A">
              <w:rPr>
                <w:color w:val="004DC7"/>
                <w:sz w:val="22"/>
                <w:szCs w:val="22"/>
                <w:lang w:val="en-US" w:eastAsia="en-US"/>
              </w:rPr>
              <w:t>CaMS requires outcomes data to close a file.</w:t>
            </w:r>
          </w:p>
        </w:tc>
        <w:tc>
          <w:tcPr>
            <w:tcW w:w="652" w:type="pct"/>
          </w:tcPr>
          <w:p w14:paraId="48D064B9" w14:textId="2F562071" w:rsidR="001A4CC1" w:rsidRPr="00D0463A" w:rsidRDefault="00832753" w:rsidP="005155D8">
            <w:pPr>
              <w:spacing w:after="0" w:line="288" w:lineRule="auto"/>
              <w:rPr>
                <w:color w:val="004DC7"/>
                <w:sz w:val="22"/>
                <w:szCs w:val="22"/>
                <w:lang w:val="en-US"/>
              </w:rPr>
            </w:pPr>
            <w:r w:rsidRPr="00D0463A">
              <w:rPr>
                <w:color w:val="004DC7"/>
                <w:sz w:val="22"/>
                <w:szCs w:val="22"/>
                <w:lang w:val="en-US"/>
              </w:rPr>
              <w:t>For deceased learners, some have chosen “unable to work”.  One SP contacts the ETC to close the file.</w:t>
            </w:r>
          </w:p>
        </w:tc>
        <w:tc>
          <w:tcPr>
            <w:tcW w:w="882" w:type="pct"/>
          </w:tcPr>
          <w:p w14:paraId="7DB4F475" w14:textId="77777777" w:rsidR="001A4CC1" w:rsidRPr="00D0463A" w:rsidRDefault="001A4CC1" w:rsidP="005155D8">
            <w:pPr>
              <w:spacing w:after="0" w:line="288" w:lineRule="auto"/>
              <w:rPr>
                <w:color w:val="004DC7"/>
                <w:sz w:val="22"/>
                <w:szCs w:val="22"/>
              </w:rPr>
            </w:pPr>
          </w:p>
        </w:tc>
        <w:tc>
          <w:tcPr>
            <w:tcW w:w="883" w:type="pct"/>
          </w:tcPr>
          <w:p w14:paraId="22131D59" w14:textId="74F9316D" w:rsidR="001A4CC1" w:rsidRPr="00D0463A" w:rsidRDefault="00832753" w:rsidP="00FA00E3">
            <w:pPr>
              <w:keepNext/>
              <w:keepLines/>
              <w:spacing w:after="0" w:line="288" w:lineRule="auto"/>
              <w:outlineLvl w:val="5"/>
              <w:rPr>
                <w:color w:val="004DC7"/>
                <w:sz w:val="22"/>
                <w:szCs w:val="22"/>
              </w:rPr>
            </w:pPr>
            <w:r w:rsidRPr="00D0463A">
              <w:rPr>
                <w:color w:val="004DC7"/>
                <w:sz w:val="22"/>
                <w:szCs w:val="22"/>
              </w:rPr>
              <w:t xml:space="preserve">Recommended that SP’s contact their ETC and ask them to close the file.  </w:t>
            </w:r>
          </w:p>
        </w:tc>
        <w:tc>
          <w:tcPr>
            <w:tcW w:w="718" w:type="pct"/>
          </w:tcPr>
          <w:p w14:paraId="5259A816" w14:textId="2B5AB16E" w:rsidR="001A4CC1" w:rsidRPr="00D0463A" w:rsidRDefault="00FA00E3" w:rsidP="005155D8">
            <w:pPr>
              <w:spacing w:after="0" w:line="288" w:lineRule="auto"/>
              <w:rPr>
                <w:color w:val="004DC7"/>
                <w:sz w:val="22"/>
                <w:szCs w:val="22"/>
              </w:rPr>
            </w:pPr>
            <w:r w:rsidRPr="00D0463A">
              <w:rPr>
                <w:color w:val="004DC7"/>
                <w:sz w:val="22"/>
                <w:szCs w:val="22"/>
              </w:rPr>
              <w:t xml:space="preserve">There is no option in CaMS for a deceased learner. </w:t>
            </w:r>
          </w:p>
        </w:tc>
        <w:tc>
          <w:tcPr>
            <w:tcW w:w="573" w:type="pct"/>
          </w:tcPr>
          <w:p w14:paraId="54923C24" w14:textId="77777777" w:rsidR="001A4CC1" w:rsidRPr="00D0463A" w:rsidRDefault="001A4CC1" w:rsidP="005155D8">
            <w:pPr>
              <w:spacing w:after="0" w:line="288" w:lineRule="auto"/>
              <w:rPr>
                <w:b/>
                <w:bCs/>
                <w:color w:val="004DC7"/>
                <w:sz w:val="22"/>
                <w:szCs w:val="22"/>
              </w:rPr>
            </w:pPr>
          </w:p>
        </w:tc>
      </w:tr>
      <w:tr w:rsidR="00254D87" w:rsidRPr="00254D87" w14:paraId="3722B88B" w14:textId="77777777" w:rsidTr="001A56AA">
        <w:trPr>
          <w:trHeight w:val="594"/>
          <w:jc w:val="center"/>
        </w:trPr>
        <w:tc>
          <w:tcPr>
            <w:tcW w:w="580" w:type="pct"/>
          </w:tcPr>
          <w:p w14:paraId="4A99BCA2" w14:textId="3F6957D3" w:rsidR="001A4CC1" w:rsidRPr="00254D87" w:rsidRDefault="003478D1" w:rsidP="005155D8">
            <w:pPr>
              <w:spacing w:after="0" w:line="288" w:lineRule="auto"/>
              <w:rPr>
                <w:b/>
                <w:color w:val="004DC7"/>
                <w:sz w:val="24"/>
                <w:szCs w:val="24"/>
              </w:rPr>
            </w:pPr>
            <w:r w:rsidRPr="00254D87">
              <w:rPr>
                <w:b/>
                <w:color w:val="004DC7"/>
                <w:sz w:val="24"/>
                <w:szCs w:val="24"/>
              </w:rPr>
              <w:t>How to record GED as a learner goal</w:t>
            </w:r>
          </w:p>
        </w:tc>
        <w:tc>
          <w:tcPr>
            <w:tcW w:w="712" w:type="pct"/>
          </w:tcPr>
          <w:p w14:paraId="171238F3" w14:textId="77777777" w:rsidR="0015461B" w:rsidRPr="00254D87" w:rsidRDefault="0015461B" w:rsidP="00154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4DC7"/>
                <w:sz w:val="22"/>
                <w:szCs w:val="22"/>
                <w:lang w:eastAsia="en-US"/>
              </w:rPr>
            </w:pPr>
            <w:r w:rsidRPr="00254D87">
              <w:rPr>
                <w:rFonts w:ascii="Century Schoolbook" w:hAnsi="Century Schoolbook"/>
                <w:color w:val="004DC7"/>
                <w:sz w:val="22"/>
              </w:rPr>
              <w:t>It is a credential.</w:t>
            </w:r>
            <w:r w:rsidRPr="00254D87">
              <w:rPr>
                <w:rFonts w:ascii="Century Gothic" w:hAnsi="Century Gothic"/>
                <w:b/>
                <w:color w:val="004DC7"/>
                <w:sz w:val="22"/>
              </w:rPr>
              <w:t xml:space="preserve">  </w:t>
            </w:r>
            <w:r w:rsidRPr="00254D87">
              <w:rPr>
                <w:rFonts w:ascii="Century Schoolbook" w:hAnsi="Century Schoolbook"/>
                <w:color w:val="004DC7"/>
                <w:sz w:val="22"/>
              </w:rPr>
              <w:t xml:space="preserve">It is a North American standard. Currently, we have been told to record what the learner wants the GED for, as the goal path.  </w:t>
            </w:r>
            <w:r w:rsidRPr="00254D87">
              <w:rPr>
                <w:color w:val="004DC7"/>
                <w:sz w:val="22"/>
                <w:szCs w:val="22"/>
                <w:lang w:eastAsia="en-US"/>
              </w:rPr>
              <w:t xml:space="preserve">However, for some learners, the GED </w:t>
            </w:r>
            <w:r w:rsidRPr="00254D87">
              <w:rPr>
                <w:b/>
                <w:color w:val="004DC7"/>
                <w:sz w:val="22"/>
                <w:szCs w:val="22"/>
                <w:lang w:eastAsia="en-US"/>
              </w:rPr>
              <w:t>IS</w:t>
            </w:r>
            <w:r w:rsidRPr="00254D87">
              <w:rPr>
                <w:color w:val="004DC7"/>
                <w:sz w:val="22"/>
                <w:szCs w:val="22"/>
                <w:lang w:eastAsia="en-US"/>
              </w:rPr>
              <w:t xml:space="preserve"> their goal.</w:t>
            </w:r>
          </w:p>
          <w:p w14:paraId="06E66E1E" w14:textId="12736DF7" w:rsidR="0015461B" w:rsidRPr="00254D87" w:rsidRDefault="0015461B" w:rsidP="00154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4DC7"/>
                <w:sz w:val="22"/>
                <w:szCs w:val="22"/>
                <w:lang w:eastAsia="en-US"/>
              </w:rPr>
            </w:pPr>
          </w:p>
        </w:tc>
        <w:tc>
          <w:tcPr>
            <w:tcW w:w="652" w:type="pct"/>
          </w:tcPr>
          <w:p w14:paraId="7321F349" w14:textId="77777777" w:rsidR="001A4CC1" w:rsidRPr="00254D87" w:rsidRDefault="0015461B" w:rsidP="005155D8">
            <w:pPr>
              <w:spacing w:after="0" w:line="288" w:lineRule="auto"/>
              <w:rPr>
                <w:color w:val="004DC7"/>
                <w:sz w:val="22"/>
                <w:szCs w:val="22"/>
              </w:rPr>
            </w:pPr>
            <w:r w:rsidRPr="00254D87">
              <w:rPr>
                <w:color w:val="004DC7"/>
                <w:sz w:val="22"/>
                <w:szCs w:val="22"/>
              </w:rPr>
              <w:t>Some providers record learners with a GED goal as having “Secondary School Credit” goal, since the GED is an equivalent.</w:t>
            </w:r>
          </w:p>
          <w:p w14:paraId="2703FD45" w14:textId="77777777" w:rsidR="0015461B" w:rsidRPr="00254D87" w:rsidRDefault="0015461B" w:rsidP="0015461B">
            <w:pPr>
              <w:spacing w:after="0" w:line="288" w:lineRule="auto"/>
              <w:rPr>
                <w:color w:val="004DC7"/>
                <w:sz w:val="22"/>
                <w:szCs w:val="22"/>
              </w:rPr>
            </w:pPr>
          </w:p>
          <w:p w14:paraId="39389625" w14:textId="77777777" w:rsidR="0015461B" w:rsidRPr="00254D87" w:rsidRDefault="0015461B" w:rsidP="0015461B">
            <w:pPr>
              <w:spacing w:after="0" w:line="288" w:lineRule="auto"/>
              <w:rPr>
                <w:color w:val="004DC7"/>
                <w:sz w:val="22"/>
                <w:szCs w:val="22"/>
              </w:rPr>
            </w:pPr>
            <w:r w:rsidRPr="00254D87">
              <w:rPr>
                <w:color w:val="004DC7"/>
                <w:sz w:val="22"/>
                <w:szCs w:val="22"/>
              </w:rPr>
              <w:lastRenderedPageBreak/>
              <w:t>Others do not – they list only one of the other 4 goals.</w:t>
            </w:r>
          </w:p>
          <w:p w14:paraId="63EEA628" w14:textId="77777777" w:rsidR="0015461B" w:rsidRPr="00254D87" w:rsidRDefault="0015461B" w:rsidP="0015461B">
            <w:pPr>
              <w:spacing w:after="0" w:line="288" w:lineRule="auto"/>
              <w:rPr>
                <w:rFonts w:ascii="Century Schoolbook" w:hAnsi="Century Schoolbook"/>
                <w:color w:val="004DC7"/>
                <w:sz w:val="22"/>
              </w:rPr>
            </w:pPr>
          </w:p>
          <w:p w14:paraId="511B3184" w14:textId="013183BF" w:rsidR="0015461B" w:rsidRPr="00254D87" w:rsidRDefault="0015461B" w:rsidP="0015461B">
            <w:pPr>
              <w:spacing w:after="0" w:line="288" w:lineRule="auto"/>
              <w:rPr>
                <w:rFonts w:ascii="Century Schoolbook" w:hAnsi="Century Schoolbook"/>
                <w:color w:val="004DC7"/>
                <w:sz w:val="22"/>
              </w:rPr>
            </w:pPr>
            <w:r w:rsidRPr="00254D87">
              <w:rPr>
                <w:rFonts w:ascii="Century Schoolbook" w:hAnsi="Century Schoolbook"/>
                <w:color w:val="004DC7"/>
                <w:sz w:val="22"/>
              </w:rPr>
              <w:t>Service providers feel the SSC goal path needs to be redefined to include “or equivalent”.</w:t>
            </w:r>
          </w:p>
        </w:tc>
        <w:tc>
          <w:tcPr>
            <w:tcW w:w="882" w:type="pct"/>
          </w:tcPr>
          <w:p w14:paraId="1B476CC6" w14:textId="77777777" w:rsidR="001A4CC1" w:rsidRPr="00254D87" w:rsidRDefault="001A4CC1" w:rsidP="005155D8">
            <w:pPr>
              <w:spacing w:after="0" w:line="288" w:lineRule="auto"/>
              <w:rPr>
                <w:color w:val="004DC7"/>
                <w:sz w:val="22"/>
                <w:szCs w:val="22"/>
              </w:rPr>
            </w:pPr>
          </w:p>
        </w:tc>
        <w:tc>
          <w:tcPr>
            <w:tcW w:w="883" w:type="pct"/>
          </w:tcPr>
          <w:p w14:paraId="1E2496EA" w14:textId="77777777" w:rsidR="001A4CC1" w:rsidRPr="00254D87" w:rsidRDefault="001A4CC1" w:rsidP="005155D8">
            <w:pPr>
              <w:keepNext/>
              <w:keepLines/>
              <w:spacing w:after="0" w:line="288" w:lineRule="auto"/>
              <w:outlineLvl w:val="5"/>
              <w:rPr>
                <w:color w:val="004DC7"/>
                <w:sz w:val="22"/>
                <w:szCs w:val="22"/>
              </w:rPr>
            </w:pPr>
          </w:p>
        </w:tc>
        <w:tc>
          <w:tcPr>
            <w:tcW w:w="718" w:type="pct"/>
          </w:tcPr>
          <w:p w14:paraId="7CBE3E36" w14:textId="77777777" w:rsidR="001A4CC1" w:rsidRPr="00254D87" w:rsidRDefault="001A4CC1" w:rsidP="005155D8">
            <w:pPr>
              <w:spacing w:after="0" w:line="288" w:lineRule="auto"/>
              <w:rPr>
                <w:color w:val="004DC7"/>
                <w:sz w:val="22"/>
                <w:szCs w:val="22"/>
              </w:rPr>
            </w:pPr>
          </w:p>
        </w:tc>
        <w:tc>
          <w:tcPr>
            <w:tcW w:w="573" w:type="pct"/>
          </w:tcPr>
          <w:p w14:paraId="29658818" w14:textId="5AF9B8EF" w:rsidR="001A4CC1" w:rsidRPr="00254D87" w:rsidRDefault="0015461B" w:rsidP="0015461B">
            <w:pPr>
              <w:spacing w:after="0" w:line="288" w:lineRule="auto"/>
              <w:rPr>
                <w:b/>
                <w:bCs/>
                <w:color w:val="004DC7"/>
                <w:sz w:val="22"/>
                <w:szCs w:val="22"/>
              </w:rPr>
            </w:pPr>
            <w:r w:rsidRPr="00254D87">
              <w:rPr>
                <w:rFonts w:ascii="Century Schoolbook" w:hAnsi="Century Schoolbook"/>
                <w:color w:val="004DC7"/>
                <w:sz w:val="22"/>
              </w:rPr>
              <w:t xml:space="preserve">Most feel that it should be added to the secondary school credit (SSC) pathway, especially when getting the GED IS the goal. However, the </w:t>
            </w:r>
            <w:r w:rsidRPr="00254D87">
              <w:rPr>
                <w:rFonts w:ascii="Century Schoolbook" w:hAnsi="Century Schoolbook"/>
                <w:color w:val="004DC7"/>
                <w:sz w:val="22"/>
              </w:rPr>
              <w:lastRenderedPageBreak/>
              <w:t>College cannot record it this way, as they are not the supposed to have clients with a secondary school goal.  Because of this, there is a no clear decision as to how to record this.</w:t>
            </w:r>
          </w:p>
        </w:tc>
      </w:tr>
    </w:tbl>
    <w:p w14:paraId="40CBF107" w14:textId="787F1A7F" w:rsidR="005E4682" w:rsidRPr="00E4257E" w:rsidRDefault="005E4682">
      <w:pPr>
        <w:rPr>
          <w:sz w:val="22"/>
          <w:szCs w:val="22"/>
        </w:rPr>
      </w:pPr>
    </w:p>
    <w:sectPr w:rsidR="005E4682" w:rsidRPr="00E4257E" w:rsidSect="00EB5EAC">
      <w:pgSz w:w="20160" w:h="12240" w:orient="landscape" w:code="5"/>
      <w:pgMar w:top="851" w:right="794" w:bottom="851" w:left="73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86E15" w14:textId="77777777" w:rsidR="0055411D" w:rsidRDefault="0055411D" w:rsidP="003E348A">
      <w:pPr>
        <w:spacing w:after="0" w:line="240" w:lineRule="auto"/>
      </w:pPr>
      <w:r>
        <w:separator/>
      </w:r>
    </w:p>
  </w:endnote>
  <w:endnote w:type="continuationSeparator" w:id="0">
    <w:p w14:paraId="142E89DF" w14:textId="77777777" w:rsidR="0055411D" w:rsidRDefault="0055411D" w:rsidP="003E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EF17" w14:textId="77777777" w:rsidR="00EB5EAC" w:rsidRDefault="00EB5EAC" w:rsidP="00DE57A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C11C07" w14:textId="77777777" w:rsidR="00EB5EAC" w:rsidRDefault="00EB5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7DC5" w14:textId="77777777" w:rsidR="005E4682" w:rsidRDefault="005E4682" w:rsidP="00EB5E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1DBB">
      <w:rPr>
        <w:rStyle w:val="PageNumber"/>
        <w:noProof/>
      </w:rPr>
      <w:t>6</w:t>
    </w:r>
    <w:r>
      <w:rPr>
        <w:rStyle w:val="PageNumber"/>
      </w:rPr>
      <w:fldChar w:fldCharType="end"/>
    </w:r>
  </w:p>
  <w:p w14:paraId="3F18F823" w14:textId="6B49B342" w:rsidR="005E4682" w:rsidRDefault="005E4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5D410" w14:textId="77777777" w:rsidR="0055411D" w:rsidRDefault="0055411D" w:rsidP="003E348A">
      <w:pPr>
        <w:spacing w:after="0" w:line="240" w:lineRule="auto"/>
      </w:pPr>
      <w:r>
        <w:separator/>
      </w:r>
    </w:p>
  </w:footnote>
  <w:footnote w:type="continuationSeparator" w:id="0">
    <w:p w14:paraId="6533BE57" w14:textId="77777777" w:rsidR="0055411D" w:rsidRDefault="0055411D" w:rsidP="003E3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20B3E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89"/>
    <w:multiLevelType w:val="singleLevel"/>
    <w:tmpl w:val="144278E0"/>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47815AA"/>
    <w:multiLevelType w:val="hybridMultilevel"/>
    <w:tmpl w:val="8AF6822C"/>
    <w:lvl w:ilvl="0" w:tplc="63FEA334">
      <w:start w:val="1"/>
      <w:numFmt w:val="decimal"/>
      <w:lvlText w:val="%1."/>
      <w:lvlJc w:val="left"/>
      <w:pPr>
        <w:tabs>
          <w:tab w:val="num" w:pos="170"/>
        </w:tabs>
        <w:ind w:left="170" w:hanging="1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4D435A"/>
    <w:multiLevelType w:val="hybridMultilevel"/>
    <w:tmpl w:val="45B001B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15:restartNumberingAfterBreak="0">
    <w:nsid w:val="2327529D"/>
    <w:multiLevelType w:val="hybridMultilevel"/>
    <w:tmpl w:val="EA7E97DE"/>
    <w:lvl w:ilvl="0" w:tplc="FDB4966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5" w15:restartNumberingAfterBreak="0">
    <w:nsid w:val="2B0D592B"/>
    <w:multiLevelType w:val="hybridMultilevel"/>
    <w:tmpl w:val="66B828E8"/>
    <w:lvl w:ilvl="0" w:tplc="8DC8BB42">
      <w:start w:val="1"/>
      <w:numFmt w:val="bullet"/>
      <w:pStyle w:val="ListBullet"/>
      <w:lvlText w:val=""/>
      <w:lvlJc w:val="left"/>
      <w:pPr>
        <w:tabs>
          <w:tab w:val="num" w:pos="680"/>
        </w:tabs>
        <w:ind w:left="680" w:hanging="34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3C1938B3"/>
    <w:multiLevelType w:val="multilevel"/>
    <w:tmpl w:val="FEE681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C756AF"/>
    <w:multiLevelType w:val="hybridMultilevel"/>
    <w:tmpl w:val="A126A804"/>
    <w:lvl w:ilvl="0" w:tplc="63FEA334">
      <w:start w:val="1"/>
      <w:numFmt w:val="decimal"/>
      <w:lvlText w:val="%1."/>
      <w:lvlJc w:val="left"/>
      <w:pPr>
        <w:tabs>
          <w:tab w:val="num" w:pos="170"/>
        </w:tabs>
        <w:ind w:left="170" w:hanging="1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EC08CB"/>
    <w:multiLevelType w:val="hybridMultilevel"/>
    <w:tmpl w:val="FEE68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4AC7229"/>
    <w:multiLevelType w:val="hybridMultilevel"/>
    <w:tmpl w:val="C81A2760"/>
    <w:lvl w:ilvl="0" w:tplc="731ED74E">
      <w:start w:val="1"/>
      <w:numFmt w:val="decimal"/>
      <w:lvlText w:val="%1."/>
      <w:lvlJc w:val="left"/>
      <w:pPr>
        <w:tabs>
          <w:tab w:val="num" w:pos="170"/>
        </w:tabs>
        <w:ind w:left="170" w:hanging="1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 w:numId="4">
    <w:abstractNumId w:val="8"/>
  </w:num>
  <w:num w:numId="5">
    <w:abstractNumId w:val="6"/>
  </w:num>
  <w:num w:numId="6">
    <w:abstractNumId w:val="9"/>
  </w:num>
  <w:num w:numId="7">
    <w:abstractNumId w:val="7"/>
  </w:num>
  <w:num w:numId="8">
    <w:abstractNumId w:val="5"/>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12"/>
    <w:rsid w:val="00000889"/>
    <w:rsid w:val="00006FDA"/>
    <w:rsid w:val="00014CCB"/>
    <w:rsid w:val="000205B0"/>
    <w:rsid w:val="0002267A"/>
    <w:rsid w:val="000547C6"/>
    <w:rsid w:val="00056637"/>
    <w:rsid w:val="00060DD5"/>
    <w:rsid w:val="00063BA5"/>
    <w:rsid w:val="000704CD"/>
    <w:rsid w:val="000726E6"/>
    <w:rsid w:val="00083779"/>
    <w:rsid w:val="000859BE"/>
    <w:rsid w:val="0009365C"/>
    <w:rsid w:val="00093979"/>
    <w:rsid w:val="00093B09"/>
    <w:rsid w:val="000A292E"/>
    <w:rsid w:val="000A48F6"/>
    <w:rsid w:val="000A5839"/>
    <w:rsid w:val="000B3C05"/>
    <w:rsid w:val="000B4202"/>
    <w:rsid w:val="000B5B08"/>
    <w:rsid w:val="000D2709"/>
    <w:rsid w:val="000D331A"/>
    <w:rsid w:val="000E0481"/>
    <w:rsid w:val="000E0982"/>
    <w:rsid w:val="000E4F89"/>
    <w:rsid w:val="000E622A"/>
    <w:rsid w:val="000E76BC"/>
    <w:rsid w:val="000E7E31"/>
    <w:rsid w:val="001150B6"/>
    <w:rsid w:val="00121466"/>
    <w:rsid w:val="00133D12"/>
    <w:rsid w:val="001442F5"/>
    <w:rsid w:val="00145565"/>
    <w:rsid w:val="0014615A"/>
    <w:rsid w:val="00151308"/>
    <w:rsid w:val="00151F89"/>
    <w:rsid w:val="0015461B"/>
    <w:rsid w:val="001622FE"/>
    <w:rsid w:val="00167C62"/>
    <w:rsid w:val="001716D5"/>
    <w:rsid w:val="001A4CC1"/>
    <w:rsid w:val="001A56AA"/>
    <w:rsid w:val="001B35F6"/>
    <w:rsid w:val="001D168D"/>
    <w:rsid w:val="001D710A"/>
    <w:rsid w:val="001E0B5C"/>
    <w:rsid w:val="0020010D"/>
    <w:rsid w:val="00207F01"/>
    <w:rsid w:val="00213AE1"/>
    <w:rsid w:val="002140F4"/>
    <w:rsid w:val="00225627"/>
    <w:rsid w:val="00233CB0"/>
    <w:rsid w:val="00235839"/>
    <w:rsid w:val="00235E07"/>
    <w:rsid w:val="00236C2C"/>
    <w:rsid w:val="00250FD9"/>
    <w:rsid w:val="00254D87"/>
    <w:rsid w:val="0027550B"/>
    <w:rsid w:val="00276D7C"/>
    <w:rsid w:val="00281E70"/>
    <w:rsid w:val="002911CF"/>
    <w:rsid w:val="00295C12"/>
    <w:rsid w:val="002C58DD"/>
    <w:rsid w:val="002C5CBA"/>
    <w:rsid w:val="002D7780"/>
    <w:rsid w:val="003239F9"/>
    <w:rsid w:val="00323A34"/>
    <w:rsid w:val="003275C1"/>
    <w:rsid w:val="003314CA"/>
    <w:rsid w:val="003358FF"/>
    <w:rsid w:val="00346BF5"/>
    <w:rsid w:val="003478D1"/>
    <w:rsid w:val="00351D42"/>
    <w:rsid w:val="00367A19"/>
    <w:rsid w:val="00375A4B"/>
    <w:rsid w:val="00382680"/>
    <w:rsid w:val="00390B17"/>
    <w:rsid w:val="003A1865"/>
    <w:rsid w:val="003A2F0E"/>
    <w:rsid w:val="003A37BB"/>
    <w:rsid w:val="003B0B22"/>
    <w:rsid w:val="003B2E13"/>
    <w:rsid w:val="003B507D"/>
    <w:rsid w:val="003E348A"/>
    <w:rsid w:val="003E4A33"/>
    <w:rsid w:val="003E5B8D"/>
    <w:rsid w:val="003F61A7"/>
    <w:rsid w:val="00433FAA"/>
    <w:rsid w:val="004362A4"/>
    <w:rsid w:val="00444227"/>
    <w:rsid w:val="00454236"/>
    <w:rsid w:val="00454625"/>
    <w:rsid w:val="00465E0A"/>
    <w:rsid w:val="00476AD6"/>
    <w:rsid w:val="00481BC6"/>
    <w:rsid w:val="0048504C"/>
    <w:rsid w:val="00491D47"/>
    <w:rsid w:val="004B2487"/>
    <w:rsid w:val="004C4AD5"/>
    <w:rsid w:val="004D3112"/>
    <w:rsid w:val="004E38A6"/>
    <w:rsid w:val="004E45ED"/>
    <w:rsid w:val="004F6D4D"/>
    <w:rsid w:val="0051479C"/>
    <w:rsid w:val="005155D8"/>
    <w:rsid w:val="00517B28"/>
    <w:rsid w:val="00531F63"/>
    <w:rsid w:val="00534D40"/>
    <w:rsid w:val="00537BF6"/>
    <w:rsid w:val="00542A7C"/>
    <w:rsid w:val="00546CB0"/>
    <w:rsid w:val="00552EDF"/>
    <w:rsid w:val="0055411D"/>
    <w:rsid w:val="005871C1"/>
    <w:rsid w:val="005C261C"/>
    <w:rsid w:val="005E4682"/>
    <w:rsid w:val="005F2957"/>
    <w:rsid w:val="005F5DC4"/>
    <w:rsid w:val="00602BD5"/>
    <w:rsid w:val="00604757"/>
    <w:rsid w:val="006067F4"/>
    <w:rsid w:val="006215C5"/>
    <w:rsid w:val="006577D1"/>
    <w:rsid w:val="00660A95"/>
    <w:rsid w:val="00692A1A"/>
    <w:rsid w:val="006C0560"/>
    <w:rsid w:val="006C6366"/>
    <w:rsid w:val="006D0600"/>
    <w:rsid w:val="006D1926"/>
    <w:rsid w:val="007118C6"/>
    <w:rsid w:val="00715724"/>
    <w:rsid w:val="0072053F"/>
    <w:rsid w:val="00721DBB"/>
    <w:rsid w:val="00732D06"/>
    <w:rsid w:val="007562D7"/>
    <w:rsid w:val="00777CB5"/>
    <w:rsid w:val="007858F0"/>
    <w:rsid w:val="007933F3"/>
    <w:rsid w:val="007A6F56"/>
    <w:rsid w:val="007B09C3"/>
    <w:rsid w:val="007D247F"/>
    <w:rsid w:val="007E2CB1"/>
    <w:rsid w:val="00801D0F"/>
    <w:rsid w:val="008121A2"/>
    <w:rsid w:val="00832753"/>
    <w:rsid w:val="0087482B"/>
    <w:rsid w:val="00895228"/>
    <w:rsid w:val="0089644E"/>
    <w:rsid w:val="008B106D"/>
    <w:rsid w:val="008E4FCE"/>
    <w:rsid w:val="008E6BB4"/>
    <w:rsid w:val="008F23F0"/>
    <w:rsid w:val="00903279"/>
    <w:rsid w:val="0091071A"/>
    <w:rsid w:val="00915256"/>
    <w:rsid w:val="0092407F"/>
    <w:rsid w:val="00925F83"/>
    <w:rsid w:val="009275CE"/>
    <w:rsid w:val="00927A16"/>
    <w:rsid w:val="00971CAE"/>
    <w:rsid w:val="00983FFD"/>
    <w:rsid w:val="00991543"/>
    <w:rsid w:val="00992675"/>
    <w:rsid w:val="009A2671"/>
    <w:rsid w:val="009B2104"/>
    <w:rsid w:val="009C07AE"/>
    <w:rsid w:val="009D38BC"/>
    <w:rsid w:val="009D40BD"/>
    <w:rsid w:val="009D4FF6"/>
    <w:rsid w:val="009D5AD9"/>
    <w:rsid w:val="009E064B"/>
    <w:rsid w:val="009E70E4"/>
    <w:rsid w:val="00A20604"/>
    <w:rsid w:val="00A33DF6"/>
    <w:rsid w:val="00A3471F"/>
    <w:rsid w:val="00A41378"/>
    <w:rsid w:val="00A4317F"/>
    <w:rsid w:val="00A57BCA"/>
    <w:rsid w:val="00A65E4F"/>
    <w:rsid w:val="00A76F84"/>
    <w:rsid w:val="00A84EFB"/>
    <w:rsid w:val="00A85933"/>
    <w:rsid w:val="00AA3384"/>
    <w:rsid w:val="00AA5C57"/>
    <w:rsid w:val="00AC36EB"/>
    <w:rsid w:val="00AC47F1"/>
    <w:rsid w:val="00AC5128"/>
    <w:rsid w:val="00AE3FFA"/>
    <w:rsid w:val="00B06F7F"/>
    <w:rsid w:val="00B10D1B"/>
    <w:rsid w:val="00B15578"/>
    <w:rsid w:val="00B211CB"/>
    <w:rsid w:val="00B339CA"/>
    <w:rsid w:val="00B623E7"/>
    <w:rsid w:val="00B67C72"/>
    <w:rsid w:val="00B86B16"/>
    <w:rsid w:val="00B86B32"/>
    <w:rsid w:val="00BA2DD8"/>
    <w:rsid w:val="00BB4512"/>
    <w:rsid w:val="00BC1989"/>
    <w:rsid w:val="00BF6572"/>
    <w:rsid w:val="00C01967"/>
    <w:rsid w:val="00C03F71"/>
    <w:rsid w:val="00C04E92"/>
    <w:rsid w:val="00C077E9"/>
    <w:rsid w:val="00C23C1C"/>
    <w:rsid w:val="00C343BC"/>
    <w:rsid w:val="00C34F88"/>
    <w:rsid w:val="00C54AB1"/>
    <w:rsid w:val="00C57247"/>
    <w:rsid w:val="00C734A0"/>
    <w:rsid w:val="00C969A1"/>
    <w:rsid w:val="00CA1451"/>
    <w:rsid w:val="00CA2393"/>
    <w:rsid w:val="00CB423E"/>
    <w:rsid w:val="00CC5BA1"/>
    <w:rsid w:val="00CD01D1"/>
    <w:rsid w:val="00CE0E57"/>
    <w:rsid w:val="00CE38B7"/>
    <w:rsid w:val="00CE3D70"/>
    <w:rsid w:val="00CF1846"/>
    <w:rsid w:val="00CF26FF"/>
    <w:rsid w:val="00CF7FE3"/>
    <w:rsid w:val="00D0463A"/>
    <w:rsid w:val="00D0597B"/>
    <w:rsid w:val="00D0636C"/>
    <w:rsid w:val="00D275C0"/>
    <w:rsid w:val="00D50841"/>
    <w:rsid w:val="00D77DC4"/>
    <w:rsid w:val="00D85132"/>
    <w:rsid w:val="00DA453D"/>
    <w:rsid w:val="00DC4415"/>
    <w:rsid w:val="00DD4CF5"/>
    <w:rsid w:val="00DD5213"/>
    <w:rsid w:val="00DD550E"/>
    <w:rsid w:val="00DE6EA5"/>
    <w:rsid w:val="00E009F1"/>
    <w:rsid w:val="00E01A3A"/>
    <w:rsid w:val="00E01AED"/>
    <w:rsid w:val="00E02ABF"/>
    <w:rsid w:val="00E203F3"/>
    <w:rsid w:val="00E22052"/>
    <w:rsid w:val="00E25791"/>
    <w:rsid w:val="00E32826"/>
    <w:rsid w:val="00E3584E"/>
    <w:rsid w:val="00E422DD"/>
    <w:rsid w:val="00E4257E"/>
    <w:rsid w:val="00E46402"/>
    <w:rsid w:val="00E56086"/>
    <w:rsid w:val="00E67C7E"/>
    <w:rsid w:val="00E73B13"/>
    <w:rsid w:val="00E913C3"/>
    <w:rsid w:val="00EA2036"/>
    <w:rsid w:val="00EB36C5"/>
    <w:rsid w:val="00EB5EAC"/>
    <w:rsid w:val="00EE7A2C"/>
    <w:rsid w:val="00F04FB6"/>
    <w:rsid w:val="00F05450"/>
    <w:rsid w:val="00F265A9"/>
    <w:rsid w:val="00F35523"/>
    <w:rsid w:val="00F3572A"/>
    <w:rsid w:val="00F36CBF"/>
    <w:rsid w:val="00F6093D"/>
    <w:rsid w:val="00F637D1"/>
    <w:rsid w:val="00F641E6"/>
    <w:rsid w:val="00F668D0"/>
    <w:rsid w:val="00F77244"/>
    <w:rsid w:val="00F90569"/>
    <w:rsid w:val="00F97744"/>
    <w:rsid w:val="00FA00E3"/>
    <w:rsid w:val="00FB453B"/>
    <w:rsid w:val="00FC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69A9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Calibri" w:hAnsi="Book Antiqu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6CB0"/>
    <w:pPr>
      <w:spacing w:after="200" w:line="276" w:lineRule="auto"/>
    </w:pPr>
    <w:rPr>
      <w:rFonts w:cs="Book Antiqu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33D12"/>
    <w:rPr>
      <w:rFonts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22052"/>
    <w:rPr>
      <w:color w:val="0000FF"/>
      <w:u w:val="single"/>
    </w:rPr>
  </w:style>
  <w:style w:type="paragraph" w:customStyle="1" w:styleId="Default">
    <w:name w:val="Default"/>
    <w:uiPriority w:val="99"/>
    <w:rsid w:val="0048504C"/>
    <w:pPr>
      <w:widowControl w:val="0"/>
      <w:autoSpaceDE w:val="0"/>
      <w:autoSpaceDN w:val="0"/>
      <w:adjustRightInd w:val="0"/>
    </w:pPr>
    <w:rPr>
      <w:rFonts w:ascii="Calibri" w:eastAsia="MS Mincho" w:hAnsi="Calibri" w:cs="Calibri"/>
      <w:color w:val="000000"/>
      <w:sz w:val="24"/>
      <w:szCs w:val="24"/>
      <w:lang w:eastAsia="ja-JP"/>
    </w:rPr>
  </w:style>
  <w:style w:type="paragraph" w:styleId="ListBullet">
    <w:name w:val="List Bullet"/>
    <w:basedOn w:val="Normal"/>
    <w:uiPriority w:val="99"/>
    <w:rsid w:val="001D168D"/>
    <w:pPr>
      <w:numPr>
        <w:numId w:val="8"/>
      </w:numPr>
      <w:tabs>
        <w:tab w:val="clear" w:pos="680"/>
        <w:tab w:val="num" w:pos="360"/>
      </w:tabs>
      <w:spacing w:after="0" w:line="312" w:lineRule="auto"/>
      <w:ind w:left="0" w:firstLine="0"/>
    </w:pPr>
    <w:rPr>
      <w:rFonts w:ascii="Cambria" w:hAnsi="Cambria" w:cs="Cambria"/>
      <w:sz w:val="24"/>
      <w:szCs w:val="24"/>
      <w:lang w:val="en-US" w:eastAsia="en-US"/>
    </w:rPr>
  </w:style>
  <w:style w:type="paragraph" w:styleId="Footer">
    <w:name w:val="footer"/>
    <w:basedOn w:val="Normal"/>
    <w:link w:val="FooterChar"/>
    <w:uiPriority w:val="99"/>
    <w:rsid w:val="003E348A"/>
    <w:pPr>
      <w:tabs>
        <w:tab w:val="center" w:pos="4320"/>
        <w:tab w:val="right" w:pos="8640"/>
      </w:tabs>
    </w:pPr>
    <w:rPr>
      <w:lang w:val="en-US"/>
    </w:rPr>
  </w:style>
  <w:style w:type="character" w:customStyle="1" w:styleId="FooterChar">
    <w:name w:val="Footer Char"/>
    <w:link w:val="Footer"/>
    <w:uiPriority w:val="99"/>
    <w:locked/>
    <w:rsid w:val="003E348A"/>
    <w:rPr>
      <w:lang w:eastAsia="en-CA"/>
    </w:rPr>
  </w:style>
  <w:style w:type="character" w:styleId="PageNumber">
    <w:name w:val="page number"/>
    <w:basedOn w:val="DefaultParagraphFont"/>
    <w:uiPriority w:val="99"/>
    <w:semiHidden/>
    <w:rsid w:val="003E348A"/>
  </w:style>
  <w:style w:type="paragraph" w:styleId="Header">
    <w:name w:val="header"/>
    <w:basedOn w:val="Normal"/>
    <w:link w:val="HeaderChar"/>
    <w:uiPriority w:val="99"/>
    <w:rsid w:val="00AC36EB"/>
    <w:pPr>
      <w:tabs>
        <w:tab w:val="center" w:pos="4320"/>
        <w:tab w:val="right" w:pos="8640"/>
      </w:tabs>
      <w:spacing w:after="0" w:line="240" w:lineRule="auto"/>
    </w:pPr>
  </w:style>
  <w:style w:type="character" w:customStyle="1" w:styleId="HeaderChar">
    <w:name w:val="Header Char"/>
    <w:link w:val="Header"/>
    <w:uiPriority w:val="99"/>
    <w:locked/>
    <w:rsid w:val="00AC36EB"/>
    <w:rPr>
      <w:lang w:eastAsia="en-CA"/>
    </w:rPr>
  </w:style>
  <w:style w:type="paragraph" w:styleId="ListParagraph">
    <w:name w:val="List Paragraph"/>
    <w:basedOn w:val="Normal"/>
    <w:uiPriority w:val="34"/>
    <w:qFormat/>
    <w:rsid w:val="00465E0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88526">
      <w:marLeft w:val="0"/>
      <w:marRight w:val="0"/>
      <w:marTop w:val="0"/>
      <w:marBottom w:val="0"/>
      <w:divBdr>
        <w:top w:val="none" w:sz="0" w:space="0" w:color="auto"/>
        <w:left w:val="none" w:sz="0" w:space="0" w:color="auto"/>
        <w:bottom w:val="none" w:sz="0" w:space="0" w:color="auto"/>
        <w:right w:val="none" w:sz="0" w:space="0" w:color="auto"/>
      </w:divBdr>
      <w:divsChild>
        <w:div w:id="67168852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cu.gov.on.ca/eng/eopg/publications/eois_cams_lbs_data_dictionary.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u.gov.on.ca/eng/eopg/eotransformation/cams_reporting/eois-cams_reporting_lbs_dsq.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hrc.on.ca/en/policy-and-guidelines-disability-and-duty-accommodate/2-what-disability"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16750</CharactersWithSpaces>
  <SharedDoc>false</SharedDoc>
  <HLinks>
    <vt:vector size="18" baseType="variant">
      <vt:variant>
        <vt:i4>6029389</vt:i4>
      </vt:variant>
      <vt:variant>
        <vt:i4>6</vt:i4>
      </vt:variant>
      <vt:variant>
        <vt:i4>0</vt:i4>
      </vt:variant>
      <vt:variant>
        <vt:i4>5</vt:i4>
      </vt:variant>
      <vt:variant>
        <vt:lpwstr>http://www.tcu.gov.on.ca/eng/eopg/publications/eois_cams_lbs_data_dictionary.pdf</vt:lpwstr>
      </vt:variant>
      <vt:variant>
        <vt:lpwstr/>
      </vt:variant>
      <vt:variant>
        <vt:i4>2555937</vt:i4>
      </vt:variant>
      <vt:variant>
        <vt:i4>3</vt:i4>
      </vt:variant>
      <vt:variant>
        <vt:i4>0</vt:i4>
      </vt:variant>
      <vt:variant>
        <vt:i4>5</vt:i4>
      </vt:variant>
      <vt:variant>
        <vt:lpwstr>https://www.tcu.gov.on.ca/eng/eopg/eotransformation/cams_reporting/eois-cams_reporting_lbs_dsq.pdf</vt:lpwstr>
      </vt:variant>
      <vt:variant>
        <vt:lpwstr/>
      </vt:variant>
      <vt:variant>
        <vt:i4>5636170</vt:i4>
      </vt:variant>
      <vt:variant>
        <vt:i4>0</vt:i4>
      </vt:variant>
      <vt:variant>
        <vt:i4>0</vt:i4>
      </vt:variant>
      <vt:variant>
        <vt:i4>5</vt:i4>
      </vt:variant>
      <vt:variant>
        <vt:lpwstr>http://www.ohrc.on.ca/en/policy-and-guidelines-disability-and-duty-accommodate/2-what-disability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Debera</dc:creator>
  <cp:keywords/>
  <dc:description/>
  <cp:lastModifiedBy>Stephanie Hobbs</cp:lastModifiedBy>
  <cp:revision>2</cp:revision>
  <cp:lastPrinted>2017-02-28T17:54:00Z</cp:lastPrinted>
  <dcterms:created xsi:type="dcterms:W3CDTF">2018-09-24T15:04:00Z</dcterms:created>
  <dcterms:modified xsi:type="dcterms:W3CDTF">2018-09-24T15:04:00Z</dcterms:modified>
</cp:coreProperties>
</file>